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color w:val="FF0000"/>
          <w:w w:val="49"/>
          <w:sz w:val="112"/>
          <w:szCs w:val="112"/>
        </w:rPr>
      </w:pPr>
      <w:r>
        <w:rPr>
          <w:rFonts w:hint="eastAsia"/>
          <w:color w:val="FF0000"/>
          <w:w w:val="49"/>
          <w:sz w:val="112"/>
          <w:szCs w:val="112"/>
          <w:lang w:val="en-US" w:eastAsia="zh-CN"/>
        </w:rPr>
        <w:t>江苏</w:t>
      </w:r>
      <w:r>
        <w:rPr>
          <w:rFonts w:hint="eastAsia"/>
          <w:color w:val="FF0000"/>
          <w:w w:val="49"/>
          <w:sz w:val="112"/>
          <w:szCs w:val="112"/>
        </w:rPr>
        <w:t>XX电气有限公司文</w:t>
      </w:r>
      <w:r>
        <w:rPr>
          <w:rFonts w:hint="eastAsia" w:ascii="宋体" w:hAnsi="宋体"/>
          <w:color w:val="FF0000"/>
          <w:w w:val="49"/>
          <w:sz w:val="112"/>
          <w:szCs w:val="112"/>
        </w:rPr>
        <w:t>件</w:t>
      </w:r>
    </w:p>
    <w:p>
      <w:pPr>
        <w:spacing w:line="360" w:lineRule="auto"/>
        <w:jc w:val="center"/>
        <w:rPr>
          <w:color w:val="FF0000"/>
          <w:sz w:val="28"/>
          <w:szCs w:val="28"/>
        </w:rPr>
      </w:pPr>
      <w:r>
        <w:rPr>
          <w:rFonts w:hint="eastAsia"/>
          <w:color w:val="FF0000"/>
          <w:sz w:val="28"/>
          <w:szCs w:val="28"/>
        </w:rPr>
        <w:t>山东XX总字（20</w:t>
      </w:r>
      <w:r>
        <w:rPr>
          <w:rFonts w:hint="eastAsia"/>
          <w:color w:val="FF0000"/>
          <w:sz w:val="28"/>
          <w:szCs w:val="28"/>
          <w:lang w:val="en-US" w:eastAsia="zh-CN"/>
        </w:rPr>
        <w:t>20</w:t>
      </w:r>
      <w:r>
        <w:rPr>
          <w:rFonts w:hint="eastAsia"/>
          <w:color w:val="FF0000"/>
          <w:sz w:val="28"/>
          <w:szCs w:val="28"/>
        </w:rPr>
        <w:t>）</w:t>
      </w:r>
      <w:r>
        <w:rPr>
          <w:rFonts w:hint="eastAsia"/>
          <w:color w:val="FF0000"/>
          <w:sz w:val="28"/>
          <w:szCs w:val="28"/>
          <w:lang w:val="en-US" w:eastAsia="zh-CN"/>
        </w:rPr>
        <w:t>5</w:t>
      </w:r>
      <w:r>
        <w:rPr>
          <w:rFonts w:hint="eastAsia"/>
          <w:color w:val="FF0000"/>
          <w:sz w:val="28"/>
          <w:szCs w:val="28"/>
        </w:rPr>
        <w:t>号</w:t>
      </w:r>
    </w:p>
    <w:p>
      <w:pPr>
        <w:jc w:val="center"/>
        <w:rPr>
          <w:rFonts w:ascii="宋体" w:hAnsi="宋体"/>
          <w:color w:val="FF0000"/>
          <w:sz w:val="30"/>
          <w:szCs w:val="30"/>
        </w:rPr>
      </w:pPr>
      <w:r>
        <w:rPr>
          <w:rFonts w:ascii="宋体" w:hAnsi="宋体"/>
          <w:color w:val="FF0000"/>
          <w:sz w:val="30"/>
          <w:szCs w:val="30"/>
        </w:rPr>
        <w:pict>
          <v:line id="_x0000_s2069" o:spid="_x0000_s2069" o:spt="20" style="position:absolute;left:0pt;flip:x;margin-left:231.75pt;margin-top:15.6pt;height:0pt;width:216pt;z-index:251664384;mso-width-relative:page;mso-height-relative:page;" stroked="t" coordsize="21600,21600">
            <v:path arrowok="t"/>
            <v:fill focussize="0,0"/>
            <v:stroke color="#FF0000"/>
            <v:imagedata o:title=""/>
            <o:lock v:ext="edit"/>
          </v:line>
        </w:pict>
      </w:r>
      <w:r>
        <w:rPr>
          <w:rFonts w:ascii="宋体" w:hAnsi="宋体"/>
          <w:color w:val="FF0000"/>
          <w:sz w:val="30"/>
          <w:szCs w:val="30"/>
        </w:rPr>
        <w:pict>
          <v:line id="_x0000_s2068" o:spid="_x0000_s2068" o:spt="20" style="position:absolute;left:0pt;flip:x;margin-left:-21pt;margin-top:15.6pt;height:0pt;width:216pt;z-index:251663360;mso-width-relative:page;mso-height-relative:page;" stroked="t" coordsize="21600,21600">
            <v:path arrowok="t"/>
            <v:fill focussize="0,0"/>
            <v:stroke color="#FF0000"/>
            <v:imagedata o:title=""/>
            <o:lock v:ext="edit"/>
          </v:line>
        </w:pict>
      </w:r>
      <w:r>
        <w:rPr>
          <w:rFonts w:hint="eastAsia" w:ascii="宋体" w:hAnsi="宋体"/>
          <w:color w:val="FF0000"/>
          <w:sz w:val="30"/>
          <w:szCs w:val="30"/>
        </w:rPr>
        <w:t xml:space="preserve">  ★</w:t>
      </w:r>
    </w:p>
    <w:p>
      <w:pPr>
        <w:spacing w:line="360" w:lineRule="auto"/>
        <w:jc w:val="center"/>
        <w:rPr>
          <w:rFonts w:asciiTheme="majorEastAsia" w:hAnsiTheme="majorEastAsia" w:eastAsiaTheme="majorEastAsia"/>
          <w:b/>
          <w:sz w:val="44"/>
          <w:szCs w:val="44"/>
        </w:rPr>
      </w:pPr>
      <w:r>
        <w:rPr>
          <w:rFonts w:hint="eastAsia" w:asciiTheme="majorEastAsia" w:hAnsiTheme="majorEastAsia" w:eastAsiaTheme="majorEastAsia"/>
          <w:b/>
          <w:sz w:val="44"/>
          <w:szCs w:val="44"/>
          <w:lang w:val="en-US" w:eastAsia="zh-CN"/>
        </w:rPr>
        <w:t>江苏</w:t>
      </w:r>
      <w:r>
        <w:rPr>
          <w:rFonts w:hint="eastAsia" w:asciiTheme="majorEastAsia" w:hAnsiTheme="majorEastAsia" w:eastAsiaTheme="majorEastAsia"/>
          <w:b/>
          <w:sz w:val="44"/>
          <w:szCs w:val="44"/>
        </w:rPr>
        <w:t>XX电气有限公司</w:t>
      </w:r>
    </w:p>
    <w:p>
      <w:pPr>
        <w:spacing w:line="360" w:lineRule="auto"/>
        <w:jc w:val="center"/>
        <w:rPr>
          <w:rFonts w:asciiTheme="majorEastAsia" w:hAnsiTheme="majorEastAsia" w:eastAsiaTheme="majorEastAsia"/>
          <w:b/>
          <w:sz w:val="44"/>
          <w:szCs w:val="44"/>
        </w:rPr>
      </w:pPr>
      <w:r>
        <w:rPr>
          <w:rFonts w:hint="eastAsia" w:asciiTheme="majorEastAsia" w:hAnsiTheme="majorEastAsia" w:eastAsiaTheme="majorEastAsia"/>
          <w:b/>
          <w:sz w:val="44"/>
          <w:szCs w:val="44"/>
        </w:rPr>
        <w:t>固定资产管理制度</w:t>
      </w:r>
    </w:p>
    <w:p>
      <w:pPr>
        <w:spacing w:line="360" w:lineRule="auto"/>
        <w:jc w:val="center"/>
        <w:rPr>
          <w:b/>
          <w:sz w:val="32"/>
          <w:szCs w:val="32"/>
        </w:rPr>
      </w:pPr>
      <w:r>
        <w:rPr>
          <w:rFonts w:hint="eastAsia"/>
          <w:b/>
          <w:sz w:val="32"/>
          <w:szCs w:val="32"/>
        </w:rPr>
        <w:t>一、总  则</w:t>
      </w:r>
    </w:p>
    <w:p>
      <w:pPr>
        <w:spacing w:line="360" w:lineRule="auto"/>
        <w:ind w:firstLine="420"/>
      </w:pPr>
      <w:r>
        <w:rPr>
          <w:rFonts w:hint="eastAsia" w:asciiTheme="minorEastAsia" w:hAnsiTheme="minorEastAsia"/>
          <w:szCs w:val="21"/>
        </w:rPr>
        <w:t xml:space="preserve">第一条 </w:t>
      </w:r>
      <w:bookmarkStart w:id="1" w:name="_GoBack"/>
      <w:r>
        <w:rPr>
          <w:rFonts w:hint="eastAsia"/>
        </w:rPr>
        <w:t>为了加强公司固定资产管理，明确管理和使用部门的职责，</w:t>
      </w:r>
      <w:r>
        <w:rPr>
          <w:rFonts w:hint="eastAsia" w:asciiTheme="minorEastAsia" w:hAnsiTheme="minorEastAsia"/>
          <w:szCs w:val="21"/>
        </w:rPr>
        <w:t>保障固定资产的安全完整，提高固定资产的使用效率，</w:t>
      </w:r>
      <w:r>
        <w:rPr>
          <w:rFonts w:hint="eastAsia"/>
        </w:rPr>
        <w:t>制定本制度。</w:t>
      </w:r>
      <w:bookmarkEnd w:id="1"/>
    </w:p>
    <w:p>
      <w:pPr>
        <w:spacing w:line="360" w:lineRule="auto"/>
        <w:ind w:firstLine="420"/>
      </w:pPr>
      <w:r>
        <w:rPr>
          <w:rFonts w:hint="eastAsia" w:cs="宋体" w:asciiTheme="minorEastAsia" w:hAnsiTheme="minorEastAsia"/>
          <w:color w:val="000000"/>
          <w:spacing w:val="16"/>
          <w:kern w:val="0"/>
        </w:rPr>
        <w:t xml:space="preserve">第二条 </w:t>
      </w:r>
      <w:r>
        <w:rPr>
          <w:rFonts w:hint="eastAsia" w:asciiTheme="minorEastAsia" w:hAnsiTheme="minorEastAsia"/>
        </w:rPr>
        <w:t>本制度所指的固定资产是指</w:t>
      </w:r>
      <w:r>
        <w:rPr>
          <w:rFonts w:hint="eastAsia"/>
        </w:rPr>
        <w:t>单位价值在1000元以上、</w:t>
      </w:r>
      <w:r>
        <w:rPr>
          <w:rFonts w:hint="eastAsia" w:asciiTheme="minorEastAsia" w:hAnsiTheme="minorEastAsia"/>
        </w:rPr>
        <w:t>使用期限超过一年，并且在使用过程中保持原有物质形态的资产，包括房屋、建筑物、用于生产经营的机器机械设备、运输设备、工具器具以及其他与生产、经营有关的设备、器具、工具等。非生产经营性设备单位价值在2000元以上，且使用年限在二年以上的也作为固定资产管理。</w:t>
      </w:r>
    </w:p>
    <w:p>
      <w:pPr>
        <w:spacing w:line="360" w:lineRule="auto"/>
        <w:ind w:firstLine="422" w:firstLineChars="201"/>
        <w:rPr>
          <w:rFonts w:asciiTheme="minorEastAsia" w:hAnsiTheme="minorEastAsia"/>
        </w:rPr>
      </w:pPr>
      <w:r>
        <w:rPr>
          <w:rFonts w:hint="eastAsia"/>
        </w:rPr>
        <w:t>不具备以上条件的物质设备，则作为低值易耗品。</w:t>
      </w:r>
    </w:p>
    <w:p>
      <w:pPr>
        <w:spacing w:line="360" w:lineRule="auto"/>
        <w:ind w:firstLine="420" w:firstLineChars="200"/>
        <w:rPr>
          <w:rFonts w:asciiTheme="minorEastAsia" w:hAnsiTheme="minorEastAsia"/>
          <w:szCs w:val="21"/>
        </w:rPr>
      </w:pPr>
      <w:r>
        <w:rPr>
          <w:rFonts w:hint="eastAsia" w:asciiTheme="minorEastAsia" w:hAnsiTheme="minorEastAsia"/>
          <w:szCs w:val="21"/>
        </w:rPr>
        <w:t>第三条 本制度适用于本公司及子公司与固定资产的</w:t>
      </w:r>
      <w:r>
        <w:rPr>
          <w:rFonts w:hint="eastAsia" w:asciiTheme="minorEastAsia" w:hAnsiTheme="minorEastAsia"/>
          <w:bCs/>
          <w:kern w:val="0"/>
          <w:szCs w:val="21"/>
        </w:rPr>
        <w:t>取得、使用、维护、处置、转移等活动有关的部门及个人。</w:t>
      </w:r>
    </w:p>
    <w:p>
      <w:pPr>
        <w:jc w:val="center"/>
        <w:rPr>
          <w:rFonts w:asciiTheme="minorEastAsia" w:hAnsiTheme="minorEastAsia"/>
          <w:sz w:val="32"/>
          <w:szCs w:val="32"/>
        </w:rPr>
      </w:pPr>
      <w:r>
        <w:rPr>
          <w:rFonts w:hint="eastAsia" w:asciiTheme="minorEastAsia" w:hAnsiTheme="minorEastAsia"/>
          <w:sz w:val="32"/>
          <w:szCs w:val="32"/>
        </w:rPr>
        <w:t>二、</w:t>
      </w:r>
      <w:r>
        <w:rPr>
          <w:rFonts w:hint="eastAsia"/>
          <w:b/>
          <w:sz w:val="32"/>
          <w:szCs w:val="32"/>
        </w:rPr>
        <w:t>固定资产的分类和编码</w:t>
      </w:r>
    </w:p>
    <w:p>
      <w:pPr>
        <w:spacing w:line="360" w:lineRule="auto"/>
        <w:ind w:firstLine="420" w:firstLineChars="200"/>
        <w:rPr>
          <w:rFonts w:asciiTheme="minorEastAsia" w:hAnsiTheme="minorEastAsia"/>
          <w:szCs w:val="21"/>
        </w:rPr>
      </w:pPr>
      <w:r>
        <w:rPr>
          <w:rFonts w:hint="eastAsia" w:asciiTheme="minorEastAsia" w:hAnsiTheme="minorEastAsia"/>
          <w:szCs w:val="21"/>
        </w:rPr>
        <w:t>第四条 公司的固定资产分为五大类：</w:t>
      </w:r>
    </w:p>
    <w:p>
      <w:pPr>
        <w:spacing w:line="360" w:lineRule="auto"/>
        <w:ind w:firstLine="401" w:firstLineChars="191"/>
        <w:rPr>
          <w:rFonts w:asciiTheme="minorEastAsia" w:hAnsiTheme="minorEastAsia"/>
        </w:rPr>
      </w:pPr>
      <w:r>
        <w:rPr>
          <w:rFonts w:hint="eastAsia" w:asciiTheme="minorEastAsia" w:hAnsiTheme="minorEastAsia"/>
        </w:rPr>
        <w:t>1、 房屋及建筑物，是指公司拥有的供生产经营使用和为职工生活福利服务的房屋、建筑物及其附属设备，如厂房、办公用房、仓库、食堂、宿舍等。</w:t>
      </w:r>
    </w:p>
    <w:p>
      <w:pPr>
        <w:spacing w:line="360" w:lineRule="auto"/>
        <w:ind w:firstLine="401" w:firstLineChars="191"/>
        <w:rPr>
          <w:rFonts w:asciiTheme="minorEastAsia" w:hAnsiTheme="minorEastAsia"/>
          <w:szCs w:val="21"/>
        </w:rPr>
      </w:pPr>
      <w:r>
        <w:rPr>
          <w:rFonts w:hint="eastAsia" w:asciiTheme="minorEastAsia" w:hAnsiTheme="minorEastAsia"/>
        </w:rPr>
        <w:t>2、 机器机械设备，</w:t>
      </w:r>
      <w:r>
        <w:rPr>
          <w:rFonts w:hint="eastAsia" w:asciiTheme="minorEastAsia" w:hAnsiTheme="minorEastAsia"/>
          <w:szCs w:val="21"/>
        </w:rPr>
        <w:t>是指</w:t>
      </w:r>
      <w:r>
        <w:rPr>
          <w:rFonts w:ascii="Arial" w:hAnsi="Arial" w:cs="Arial"/>
          <w:szCs w:val="21"/>
        </w:rPr>
        <w:t>各种机器、机械、机组、生产线及其配套设备，各种动力、输送、传导设备等。</w:t>
      </w:r>
    </w:p>
    <w:p>
      <w:pPr>
        <w:spacing w:line="360" w:lineRule="auto"/>
        <w:ind w:firstLine="401" w:firstLineChars="191"/>
        <w:rPr>
          <w:rFonts w:asciiTheme="minorEastAsia" w:hAnsiTheme="minorEastAsia"/>
        </w:rPr>
      </w:pPr>
      <w:r>
        <w:rPr>
          <w:rFonts w:hint="eastAsia" w:asciiTheme="minorEastAsia" w:hAnsiTheme="minorEastAsia"/>
        </w:rPr>
        <w:t>3、 交通运输工具，是指企业所拥有的交通及运输工具，如汽车、自行车、摩托车、叉车等。</w:t>
      </w:r>
    </w:p>
    <w:p>
      <w:pPr>
        <w:spacing w:line="360" w:lineRule="auto"/>
        <w:ind w:firstLine="401" w:firstLineChars="191"/>
        <w:rPr>
          <w:rFonts w:asciiTheme="minorEastAsia" w:hAnsiTheme="minorEastAsia"/>
          <w:szCs w:val="21"/>
        </w:rPr>
      </w:pPr>
      <w:r>
        <w:rPr>
          <w:rFonts w:hint="eastAsia" w:asciiTheme="minorEastAsia" w:hAnsiTheme="minorEastAsia"/>
        </w:rPr>
        <w:t>4、 电子设备，</w:t>
      </w:r>
      <w:r>
        <w:rPr>
          <w:rFonts w:hint="eastAsia" w:cs="Arial" w:asciiTheme="minorEastAsia" w:hAnsiTheme="minorEastAsia"/>
          <w:szCs w:val="21"/>
        </w:rPr>
        <w:t>本项</w:t>
      </w:r>
      <w:r>
        <w:rPr>
          <w:rFonts w:cs="Arial" w:asciiTheme="minorEastAsia" w:hAnsiTheme="minorEastAsia"/>
          <w:szCs w:val="21"/>
        </w:rPr>
        <w:t>所称的电子设备，是指由集成电路、晶体管、电子管等电子元器件组成，应用电子技术(包括软件)发挥作用的设备，包括计算机</w:t>
      </w:r>
      <w:r>
        <w:rPr>
          <w:rFonts w:hint="eastAsia" w:cs="Arial" w:asciiTheme="minorEastAsia" w:hAnsiTheme="minorEastAsia"/>
          <w:szCs w:val="21"/>
        </w:rPr>
        <w:t>、</w:t>
      </w:r>
      <w:r>
        <w:rPr>
          <w:rFonts w:cs="Tahoma" w:asciiTheme="minorEastAsia" w:hAnsiTheme="minorEastAsia"/>
          <w:color w:val="000000"/>
          <w:szCs w:val="21"/>
          <w:shd w:val="clear" w:color="auto" w:fill="FFFFFF"/>
        </w:rPr>
        <w:t>空调、</w:t>
      </w:r>
      <w:r>
        <w:rPr>
          <w:rFonts w:hint="eastAsia" w:cs="Tahoma" w:asciiTheme="minorEastAsia" w:hAnsiTheme="minorEastAsia"/>
          <w:color w:val="000000"/>
          <w:szCs w:val="21"/>
          <w:shd w:val="clear" w:color="auto" w:fill="FFFFFF"/>
        </w:rPr>
        <w:t>复印机</w:t>
      </w:r>
      <w:r>
        <w:rPr>
          <w:rFonts w:cs="Tahoma" w:asciiTheme="minorEastAsia" w:hAnsiTheme="minorEastAsia"/>
          <w:color w:val="000000"/>
          <w:szCs w:val="21"/>
          <w:shd w:val="clear" w:color="auto" w:fill="FFFFFF"/>
        </w:rPr>
        <w:t>、</w:t>
      </w:r>
      <w:r>
        <w:rPr>
          <w:rFonts w:hint="eastAsia" w:cs="Tahoma" w:asciiTheme="minorEastAsia" w:hAnsiTheme="minorEastAsia"/>
          <w:color w:val="000000"/>
          <w:szCs w:val="21"/>
          <w:shd w:val="clear" w:color="auto" w:fill="FFFFFF"/>
        </w:rPr>
        <w:t>投影仪</w:t>
      </w:r>
      <w:r>
        <w:rPr>
          <w:rFonts w:cs="Tahoma" w:asciiTheme="minorEastAsia" w:hAnsiTheme="minorEastAsia"/>
          <w:color w:val="000000"/>
          <w:szCs w:val="21"/>
          <w:shd w:val="clear" w:color="auto" w:fill="FFFFFF"/>
        </w:rPr>
        <w:t>、打印机等</w:t>
      </w:r>
      <w:r>
        <w:rPr>
          <w:rFonts w:hint="eastAsia" w:cs="Tahoma" w:asciiTheme="minorEastAsia" w:hAnsiTheme="minorEastAsia"/>
          <w:color w:val="000000"/>
          <w:szCs w:val="21"/>
          <w:shd w:val="clear" w:color="auto" w:fill="FFFFFF"/>
        </w:rPr>
        <w:t>，</w:t>
      </w:r>
      <w:r>
        <w:rPr>
          <w:rFonts w:cs="Arial" w:asciiTheme="minorEastAsia" w:hAnsiTheme="minorEastAsia"/>
          <w:szCs w:val="21"/>
        </w:rPr>
        <w:t>以及由电子计算机控制的机器人、数控或者程控系统等。</w:t>
      </w:r>
    </w:p>
    <w:p>
      <w:pPr>
        <w:spacing w:line="360" w:lineRule="auto"/>
        <w:ind w:firstLine="420" w:firstLineChars="200"/>
        <w:rPr>
          <w:rFonts w:asciiTheme="minorEastAsia" w:hAnsiTheme="minorEastAsia"/>
        </w:rPr>
      </w:pPr>
      <w:r>
        <w:rPr>
          <w:rFonts w:hint="eastAsia" w:asciiTheme="minorEastAsia" w:hAnsiTheme="minorEastAsia"/>
        </w:rPr>
        <w:t>5、 办公家具，是指用于办公及生活用的沙发、家具、书橱、桌椅等。</w:t>
      </w:r>
    </w:p>
    <w:p>
      <w:pPr>
        <w:spacing w:line="360" w:lineRule="auto"/>
        <w:ind w:firstLine="420" w:firstLineChars="200"/>
        <w:rPr>
          <w:rFonts w:asciiTheme="minorEastAsia" w:hAnsiTheme="minorEastAsia"/>
          <w:szCs w:val="21"/>
        </w:rPr>
      </w:pPr>
      <w:r>
        <w:rPr>
          <w:rFonts w:hint="eastAsia" w:asciiTheme="minorEastAsia" w:hAnsiTheme="minorEastAsia"/>
          <w:szCs w:val="21"/>
        </w:rPr>
        <w:t>第五条 公司对固定资产实行编码管理。</w:t>
      </w:r>
    </w:p>
    <w:p>
      <w:pPr>
        <w:spacing w:line="360" w:lineRule="auto"/>
        <w:ind w:firstLine="420" w:firstLineChars="200"/>
        <w:rPr>
          <w:szCs w:val="21"/>
        </w:rPr>
      </w:pPr>
      <w:r>
        <w:rPr>
          <w:rFonts w:hint="eastAsia" w:asciiTheme="minorEastAsia" w:hAnsiTheme="minorEastAsia"/>
          <w:szCs w:val="21"/>
        </w:rPr>
        <w:t>1、</w:t>
      </w:r>
      <w:r>
        <w:rPr>
          <w:szCs w:val="21"/>
        </w:rPr>
        <w:t>固定资产后</w:t>
      </w:r>
      <w:r>
        <w:rPr>
          <w:rFonts w:hint="eastAsia"/>
          <w:szCs w:val="21"/>
        </w:rPr>
        <w:t>取得后</w:t>
      </w:r>
      <w:r>
        <w:rPr>
          <w:szCs w:val="21"/>
        </w:rPr>
        <w:t>，由综合管理部予以分类编号并粘贴标签。</w:t>
      </w:r>
      <w:r>
        <w:rPr>
          <w:rFonts w:hint="eastAsia"/>
          <w:szCs w:val="21"/>
        </w:rPr>
        <w:t>对于成套设备，各组成部分如单独领用，应分别编号，如购置一套计算机，主机、显示器应分别编号，键盘、鼠标易损可以不单独编号。</w:t>
      </w:r>
      <w:bookmarkStart w:id="0" w:name="_Toc302465345"/>
    </w:p>
    <w:p>
      <w:pPr>
        <w:spacing w:line="360" w:lineRule="auto"/>
        <w:ind w:firstLine="420" w:firstLineChars="200"/>
        <w:rPr>
          <w:szCs w:val="21"/>
        </w:rPr>
      </w:pPr>
      <w:r>
        <w:rPr>
          <w:rFonts w:hint="eastAsia" w:asciiTheme="minorEastAsia" w:hAnsiTheme="minorEastAsia"/>
          <w:szCs w:val="21"/>
        </w:rPr>
        <w:t>2、编码方法</w:t>
      </w:r>
      <w:bookmarkEnd w:id="0"/>
    </w:p>
    <w:p>
      <w:pPr>
        <w:pStyle w:val="18"/>
        <w:spacing w:after="0" w:line="360" w:lineRule="auto"/>
        <w:ind w:firstLineChars="200"/>
        <w:jc w:val="left"/>
      </w:pPr>
      <w:r>
        <w:rPr>
          <w:rFonts w:hint="eastAsia"/>
        </w:rPr>
        <w:t>固定资产编码采用4层8位数字代码表示，第1位表示固定资产类别，第2、3位表示固定资产取得年份的后两位数；第4、5位表示固定资产取得月份；第6、7、8位表示流水号。其分类结构如图所示。</w:t>
      </w:r>
    </w:p>
    <w:p>
      <w:pPr>
        <w:pStyle w:val="18"/>
        <w:spacing w:after="0" w:line="360" w:lineRule="auto"/>
        <w:ind w:firstLine="280"/>
        <w:jc w:val="left"/>
        <w:rPr>
          <w:sz w:val="28"/>
          <w:szCs w:val="28"/>
        </w:rPr>
      </w:pPr>
      <w:r>
        <w:rPr>
          <w:sz w:val="28"/>
          <w:szCs w:val="28"/>
        </w:rPr>
        <w:pict>
          <v:group id="_x0000_s2050" o:spid="_x0000_s2050" o:spt="203" style="height:132.6pt;width:393.3pt;" coordorigin="2271,11852" coordsize="5959,1989" editas="canvas">
            <o:lock v:ext="edit"/>
            <v:shape id="_x0000_s2051" o:spid="_x0000_s2051" o:spt="75" type="#_x0000_t75" style="position:absolute;left:2271;top:11852;height:1989;width:5959;" filled="f" o:preferrelative="f" stroked="f" coordsize="21600,21600">
              <v:fill on="f" focussize="0,0"/>
              <v:stroke on="f" joinstyle="miter"/>
              <v:imagedata o:title=""/>
              <o:lock v:ext="edit" text="t" aspectratio="t"/>
            </v:shape>
            <v:shape id="_x0000_s2052" o:spid="_x0000_s2052" o:spt="202" type="#_x0000_t202" style="position:absolute;left:2271;top:11852;height:1989;width:5959;" coordsize="21600,21600">
              <v:path/>
              <v:fill focussize="0,0"/>
              <v:stroke joinstyle="miter"/>
              <v:imagedata o:title=""/>
              <o:lock v:ext="edit"/>
              <v:textbox>
                <w:txbxContent>
                  <w:p>
                    <w:pPr>
                      <w:ind w:firstLine="2100" w:firstLineChars="1000"/>
                    </w:pPr>
                    <w:r>
                      <w:t xml:space="preserve">× </w:t>
                    </w:r>
                    <w:r>
                      <w:rPr>
                        <w:rFonts w:hint="eastAsia"/>
                      </w:rPr>
                      <w:t xml:space="preserve"> </w:t>
                    </w:r>
                    <w:r>
                      <w:t xml:space="preserve"> </w:t>
                    </w:r>
                    <w:r>
                      <w:rPr>
                        <w:rFonts w:hint="eastAsia"/>
                      </w:rPr>
                      <w:t xml:space="preserve">  </w:t>
                    </w:r>
                    <w:r>
                      <w:t xml:space="preserve">×× </w:t>
                    </w:r>
                    <w:r>
                      <w:rPr>
                        <w:rFonts w:hint="eastAsia"/>
                      </w:rPr>
                      <w:t xml:space="preserve"> </w:t>
                    </w:r>
                    <w:r>
                      <w:t xml:space="preserve"> </w:t>
                    </w:r>
                    <w:r>
                      <w:rPr>
                        <w:rFonts w:hint="eastAsia"/>
                      </w:rPr>
                      <w:t xml:space="preserve">  </w:t>
                    </w:r>
                    <w:r>
                      <w:t xml:space="preserve">×× </w:t>
                    </w:r>
                    <w:r>
                      <w:rPr>
                        <w:rFonts w:hint="eastAsia"/>
                      </w:rPr>
                      <w:t xml:space="preserve">   </w:t>
                    </w:r>
                    <w:r>
                      <w:t xml:space="preserve"> ×××</w:t>
                    </w:r>
                  </w:p>
                  <w:p>
                    <w:pPr>
                      <w:ind w:firstLine="1050" w:firstLineChars="500"/>
                      <w:rPr>
                        <w:szCs w:val="21"/>
                      </w:rPr>
                    </w:pPr>
                    <w:r>
                      <w:rPr>
                        <w:rFonts w:hint="eastAsia"/>
                      </w:rPr>
                      <w:t xml:space="preserve">                                    </w:t>
                    </w:r>
                    <w:r>
                      <w:rPr>
                        <w:rFonts w:hint="eastAsia"/>
                        <w:szCs w:val="21"/>
                      </w:rPr>
                      <w:t>第6、7、8位表示流水号</w:t>
                    </w:r>
                  </w:p>
                  <w:p>
                    <w:pPr>
                      <w:pStyle w:val="18"/>
                      <w:ind w:firstLine="210"/>
                      <w:jc w:val="left"/>
                      <w:rPr>
                        <w:szCs w:val="21"/>
                      </w:rPr>
                    </w:pPr>
                    <w:r>
                      <w:rPr>
                        <w:rFonts w:hint="eastAsia"/>
                        <w:szCs w:val="21"/>
                      </w:rPr>
                      <w:t xml:space="preserve">                                            第4、5位表示取得月份</w:t>
                    </w:r>
                  </w:p>
                  <w:p>
                    <w:pPr>
                      <w:pStyle w:val="18"/>
                      <w:ind w:firstLine="210"/>
                      <w:jc w:val="left"/>
                      <w:rPr>
                        <w:szCs w:val="21"/>
                      </w:rPr>
                    </w:pPr>
                    <w:r>
                      <w:rPr>
                        <w:rFonts w:hint="eastAsia"/>
                        <w:szCs w:val="21"/>
                      </w:rPr>
                      <w:t xml:space="preserve">                                            第2、3位表示取得年份</w:t>
                    </w:r>
                  </w:p>
                  <w:p>
                    <w:pPr>
                      <w:pStyle w:val="18"/>
                      <w:spacing w:line="360" w:lineRule="auto"/>
                      <w:ind w:firstLine="210"/>
                      <w:jc w:val="left"/>
                      <w:rPr>
                        <w:szCs w:val="21"/>
                      </w:rPr>
                    </w:pPr>
                    <w:r>
                      <w:rPr>
                        <w:rFonts w:hint="eastAsia"/>
                        <w:szCs w:val="21"/>
                      </w:rPr>
                      <w:t xml:space="preserve">                                            第1位表示类别</w:t>
                    </w:r>
                  </w:p>
                  <w:p>
                    <w:pPr>
                      <w:pStyle w:val="18"/>
                      <w:spacing w:line="360" w:lineRule="auto"/>
                      <w:ind w:firstLine="211"/>
                      <w:jc w:val="center"/>
                      <w:rPr>
                        <w:b/>
                      </w:rPr>
                    </w:pPr>
                    <w:r>
                      <w:rPr>
                        <w:rFonts w:hint="eastAsia"/>
                        <w:b/>
                      </w:rPr>
                      <w:t>固定资产编码的构成</w:t>
                    </w:r>
                  </w:p>
                  <w:p>
                    <w:pPr>
                      <w:pStyle w:val="18"/>
                      <w:ind w:firstLine="280"/>
                      <w:jc w:val="center"/>
                      <w:rPr>
                        <w:sz w:val="28"/>
                        <w:szCs w:val="28"/>
                      </w:rPr>
                    </w:pPr>
                  </w:p>
                </w:txbxContent>
              </v:textbox>
            </v:shape>
            <v:line id="_x0000_s2053" o:spid="_x0000_s2053" o:spt="20" style="position:absolute;left:3992;top:12320;height:0;width:108;" coordsize="21600,21600">
              <v:path arrowok="t"/>
              <v:fill focussize="0,0"/>
              <v:stroke/>
              <v:imagedata o:title=""/>
              <o:lock v:ext="edit"/>
            </v:line>
            <v:line id="_x0000_s2054" o:spid="_x0000_s2054" o:spt="20" style="position:absolute;left:4423;top:12320;height:0;width:215;" coordsize="21600,21600">
              <v:path arrowok="t"/>
              <v:fill focussize="0,0"/>
              <v:stroke/>
              <v:imagedata o:title=""/>
              <o:lock v:ext="edit"/>
            </v:line>
            <v:line id="_x0000_s2055" o:spid="_x0000_s2055" o:spt="20" style="position:absolute;left:4960;top:12320;height:0;width:216;" coordsize="21600,21600">
              <v:path arrowok="t"/>
              <v:fill focussize="0,0"/>
              <v:stroke/>
              <v:imagedata o:title=""/>
              <o:lock v:ext="edit"/>
            </v:line>
            <v:line id="_x0000_s2056" o:spid="_x0000_s2056" o:spt="20" style="position:absolute;left:5498;top:12320;height:0;width:323;" coordsize="21600,21600">
              <v:path arrowok="t"/>
              <v:fill focussize="0,0"/>
              <v:stroke/>
              <v:imagedata o:title=""/>
              <o:lock v:ext="edit"/>
            </v:line>
            <v:line id="_x0000_s2057" o:spid="_x0000_s2057" o:spt="20" style="position:absolute;left:5606;top:12320;height:117;width:0;" coordsize="21600,21600">
              <v:path arrowok="t"/>
              <v:fill focussize="0,0"/>
              <v:stroke/>
              <v:imagedata o:title=""/>
              <o:lock v:ext="edit"/>
            </v:line>
            <v:line id="_x0000_s2058" o:spid="_x0000_s2058" o:spt="20" style="position:absolute;left:5606;top:12437;height:0;width:645;" coordsize="21600,21600">
              <v:path arrowok="t"/>
              <v:fill focussize="0,0"/>
              <v:stroke/>
              <v:imagedata o:title=""/>
              <o:lock v:ext="edit"/>
            </v:line>
            <v:line id="_x0000_s2059" o:spid="_x0000_s2059" o:spt="20" style="position:absolute;left:5068;top:12320;height:351;width:0;" coordsize="21600,21600">
              <v:path arrowok="t"/>
              <v:fill focussize="0,0"/>
              <v:stroke/>
              <v:imagedata o:title=""/>
              <o:lock v:ext="edit"/>
            </v:line>
            <v:line id="_x0000_s2060" o:spid="_x0000_s2060" o:spt="20" style="position:absolute;left:5068;top:12671;height:0;width:1076;" coordsize="21600,21600">
              <v:path arrowok="t"/>
              <v:fill focussize="0,0"/>
              <v:stroke/>
              <v:imagedata o:title=""/>
              <o:lock v:ext="edit"/>
            </v:line>
            <v:line id="_x0000_s2061" o:spid="_x0000_s2061" o:spt="20" style="position:absolute;left:4530;top:12320;height:702;width:0;" coordsize="21600,21600">
              <v:path arrowok="t"/>
              <v:fill focussize="0,0"/>
              <v:stroke/>
              <v:imagedata o:title=""/>
              <o:lock v:ext="edit"/>
            </v:line>
            <v:line id="_x0000_s2062" o:spid="_x0000_s2062" o:spt="20" style="position:absolute;left:4530;top:13022;height:0;width:1614;" coordsize="21600,21600">
              <v:path arrowok="t"/>
              <v:fill focussize="0,0"/>
              <v:stroke/>
              <v:imagedata o:title=""/>
              <o:lock v:ext="edit"/>
            </v:line>
            <v:line id="_x0000_s2063" o:spid="_x0000_s2063" o:spt="20" style="position:absolute;left:3992;top:12320;height:1053;width:0;" coordsize="21600,21600">
              <v:path arrowok="t"/>
              <v:fill focussize="0,0"/>
              <v:stroke/>
              <v:imagedata o:title=""/>
              <o:lock v:ext="edit"/>
            </v:line>
            <v:line id="_x0000_s2064" o:spid="_x0000_s2064" o:spt="20" style="position:absolute;left:3992;top:13373;height:0;width:2152;" coordsize="21600,21600">
              <v:path arrowok="t"/>
              <v:fill focussize="0,0"/>
              <v:stroke/>
              <v:imagedata o:title=""/>
              <o:lock v:ext="edit"/>
            </v:line>
            <w10:wrap type="none"/>
            <w10:anchorlock/>
          </v:group>
        </w:pict>
      </w:r>
    </w:p>
    <w:p>
      <w:pPr>
        <w:spacing w:line="360" w:lineRule="auto"/>
        <w:ind w:firstLine="420" w:firstLineChars="200"/>
        <w:rPr>
          <w:rFonts w:asciiTheme="minorEastAsia" w:hAnsiTheme="minorEastAsia"/>
          <w:szCs w:val="21"/>
        </w:rPr>
      </w:pPr>
      <w:r>
        <w:rPr>
          <w:rFonts w:hint="eastAsia" w:asciiTheme="minorEastAsia" w:hAnsiTheme="minorEastAsia"/>
          <w:szCs w:val="21"/>
        </w:rPr>
        <w:t>3、固定资产类别及代码</w:t>
      </w:r>
    </w:p>
    <w:tbl>
      <w:tblPr>
        <w:tblStyle w:val="20"/>
        <w:tblW w:w="0" w:type="auto"/>
        <w:tblInd w:w="8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10"/>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0" w:type="dxa"/>
          </w:tcPr>
          <w:p>
            <w:pPr>
              <w:spacing w:line="360" w:lineRule="auto"/>
              <w:jc w:val="center"/>
              <w:rPr>
                <w:rFonts w:cs="Times New Roman" w:asciiTheme="minorEastAsia" w:hAnsiTheme="minorEastAsia" w:eastAsiaTheme="minorEastAsia"/>
                <w:kern w:val="0"/>
                <w:sz w:val="21"/>
                <w:szCs w:val="21"/>
              </w:rPr>
            </w:pPr>
            <w:r>
              <w:rPr>
                <w:rFonts w:hint="eastAsia" w:eastAsia="宋体" w:cs="Times New Roman" w:asciiTheme="minorEastAsia" w:hAnsiTheme="minorEastAsia"/>
                <w:kern w:val="0"/>
                <w:sz w:val="20"/>
                <w:szCs w:val="21"/>
              </w:rPr>
              <w:t xml:space="preserve">    </w:t>
            </w:r>
            <w:r>
              <w:rPr>
                <w:rFonts w:hint="eastAsia" w:cs="Times New Roman" w:asciiTheme="minorEastAsia" w:hAnsiTheme="minorEastAsia" w:eastAsiaTheme="minorEastAsia"/>
                <w:kern w:val="0"/>
                <w:sz w:val="21"/>
                <w:szCs w:val="21"/>
              </w:rPr>
              <w:t>固定资产类别</w:t>
            </w:r>
          </w:p>
        </w:tc>
        <w:tc>
          <w:tcPr>
            <w:tcW w:w="1559" w:type="dxa"/>
          </w:tcPr>
          <w:p>
            <w:pPr>
              <w:spacing w:line="360" w:lineRule="auto"/>
              <w:ind w:firstLine="105" w:firstLineChars="50"/>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0" w:type="dxa"/>
          </w:tcPr>
          <w:p>
            <w:pPr>
              <w:spacing w:line="360" w:lineRule="auto"/>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 xml:space="preserve">房屋建筑物 </w:t>
            </w:r>
          </w:p>
        </w:tc>
        <w:tc>
          <w:tcPr>
            <w:tcW w:w="1559" w:type="dxa"/>
          </w:tcPr>
          <w:p>
            <w:pPr>
              <w:tabs>
                <w:tab w:val="left" w:pos="3330"/>
              </w:tabs>
              <w:spacing w:line="360" w:lineRule="auto"/>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0" w:type="dxa"/>
          </w:tcPr>
          <w:p>
            <w:pPr>
              <w:tabs>
                <w:tab w:val="left" w:pos="3330"/>
              </w:tabs>
              <w:spacing w:line="360" w:lineRule="auto"/>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机器机械设备</w:t>
            </w:r>
          </w:p>
        </w:tc>
        <w:tc>
          <w:tcPr>
            <w:tcW w:w="1559" w:type="dxa"/>
          </w:tcPr>
          <w:p>
            <w:pPr>
              <w:tabs>
                <w:tab w:val="left" w:pos="3330"/>
              </w:tabs>
              <w:spacing w:line="360" w:lineRule="auto"/>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0" w:type="dxa"/>
          </w:tcPr>
          <w:p>
            <w:pPr>
              <w:tabs>
                <w:tab w:val="left" w:pos="3330"/>
              </w:tabs>
              <w:spacing w:line="360" w:lineRule="auto"/>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交通运输工具</w:t>
            </w:r>
          </w:p>
        </w:tc>
        <w:tc>
          <w:tcPr>
            <w:tcW w:w="1559" w:type="dxa"/>
          </w:tcPr>
          <w:p>
            <w:pPr>
              <w:spacing w:line="360" w:lineRule="auto"/>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0" w:type="dxa"/>
          </w:tcPr>
          <w:p>
            <w:pPr>
              <w:tabs>
                <w:tab w:val="left" w:pos="3330"/>
              </w:tabs>
              <w:spacing w:line="360" w:lineRule="auto"/>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电子设备</w:t>
            </w:r>
          </w:p>
        </w:tc>
        <w:tc>
          <w:tcPr>
            <w:tcW w:w="1559" w:type="dxa"/>
          </w:tcPr>
          <w:p>
            <w:pPr>
              <w:tabs>
                <w:tab w:val="left" w:pos="3330"/>
              </w:tabs>
              <w:spacing w:line="360" w:lineRule="auto"/>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0" w:type="dxa"/>
          </w:tcPr>
          <w:p>
            <w:pPr>
              <w:spacing w:line="360" w:lineRule="auto"/>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办公家具</w:t>
            </w:r>
          </w:p>
        </w:tc>
        <w:tc>
          <w:tcPr>
            <w:tcW w:w="1559" w:type="dxa"/>
          </w:tcPr>
          <w:p>
            <w:pPr>
              <w:tabs>
                <w:tab w:val="left" w:pos="3330"/>
              </w:tabs>
              <w:spacing w:line="360" w:lineRule="auto"/>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5</w:t>
            </w:r>
          </w:p>
        </w:tc>
      </w:tr>
    </w:tbl>
    <w:p>
      <w:pPr>
        <w:tabs>
          <w:tab w:val="left" w:pos="3330"/>
        </w:tabs>
        <w:spacing w:line="360" w:lineRule="auto"/>
        <w:ind w:firstLine="420" w:firstLineChars="200"/>
        <w:rPr>
          <w:rFonts w:asciiTheme="minorEastAsia" w:hAnsiTheme="minorEastAsia"/>
          <w:szCs w:val="21"/>
        </w:rPr>
      </w:pPr>
      <w:r>
        <w:rPr>
          <w:rFonts w:hint="eastAsia" w:asciiTheme="minorEastAsia" w:hAnsiTheme="minorEastAsia"/>
          <w:szCs w:val="21"/>
        </w:rPr>
        <w:t>4、固定资产编码示例</w:t>
      </w:r>
    </w:p>
    <w:p>
      <w:pPr>
        <w:spacing w:line="360" w:lineRule="auto"/>
        <w:ind w:firstLine="420" w:firstLineChars="200"/>
        <w:rPr>
          <w:szCs w:val="21"/>
        </w:rPr>
      </w:pPr>
      <w:r>
        <w:rPr>
          <w:rFonts w:hint="eastAsia"/>
          <w:szCs w:val="21"/>
        </w:rPr>
        <w:t>例如  综合管理部2014年7月1日购置显示器，则编号为4 1</w:t>
      </w:r>
      <w:r>
        <w:rPr>
          <w:szCs w:val="21"/>
        </w:rPr>
        <w:t>4</w:t>
      </w:r>
      <w:r>
        <w:rPr>
          <w:rFonts w:hint="eastAsia"/>
          <w:szCs w:val="21"/>
        </w:rPr>
        <w:t xml:space="preserve"> 07 001</w:t>
      </w:r>
    </w:p>
    <w:p>
      <w:pPr>
        <w:spacing w:line="360" w:lineRule="auto"/>
        <w:jc w:val="center"/>
        <w:rPr>
          <w:rFonts w:asciiTheme="minorEastAsia" w:hAnsiTheme="minorEastAsia"/>
          <w:szCs w:val="21"/>
        </w:rPr>
      </w:pPr>
      <w:r>
        <w:rPr>
          <w:rFonts w:hint="eastAsia" w:asciiTheme="minorEastAsia" w:hAnsiTheme="minorEastAsia"/>
          <w:sz w:val="32"/>
          <w:szCs w:val="32"/>
        </w:rPr>
        <w:t>三、</w:t>
      </w:r>
      <w:r>
        <w:rPr>
          <w:rFonts w:hint="eastAsia"/>
          <w:b/>
          <w:sz w:val="32"/>
          <w:szCs w:val="32"/>
        </w:rPr>
        <w:t>固定资产的计价及折旧</w:t>
      </w:r>
    </w:p>
    <w:p>
      <w:pPr>
        <w:spacing w:line="360" w:lineRule="auto"/>
        <w:ind w:firstLine="420" w:firstLineChars="200"/>
        <w:rPr>
          <w:rFonts w:asciiTheme="minorEastAsia" w:hAnsiTheme="minorEastAsia"/>
          <w:szCs w:val="21"/>
        </w:rPr>
      </w:pPr>
      <w:r>
        <w:rPr>
          <w:rFonts w:hint="eastAsia" w:asciiTheme="minorEastAsia" w:hAnsiTheme="minorEastAsia"/>
          <w:szCs w:val="21"/>
        </w:rPr>
        <w:t>第六条 公司的固定资产原值，应按其不同来源渠道分别确定。</w:t>
      </w:r>
    </w:p>
    <w:p>
      <w:pPr>
        <w:spacing w:line="360" w:lineRule="auto"/>
        <w:ind w:firstLine="420" w:firstLineChars="200"/>
        <w:rPr>
          <w:rFonts w:asciiTheme="minorEastAsia" w:hAnsiTheme="minorEastAsia"/>
          <w:szCs w:val="21"/>
        </w:rPr>
      </w:pPr>
      <w:r>
        <w:rPr>
          <w:rFonts w:hint="eastAsia" w:asciiTheme="minorEastAsia" w:hAnsiTheme="minorEastAsia"/>
          <w:szCs w:val="21"/>
        </w:rPr>
        <w:t>1、 购进的固定资产以进价加运输、装卸、包装、保险等费用作为原价，需安装的固定资产，还应包括安装费用；从国外进口设备的原价还应包括按规定支付的关税和附加税；</w:t>
      </w:r>
    </w:p>
    <w:p>
      <w:pPr>
        <w:spacing w:line="360" w:lineRule="auto"/>
        <w:ind w:firstLine="420" w:firstLineChars="200"/>
        <w:jc w:val="left"/>
        <w:rPr>
          <w:rFonts w:asciiTheme="minorEastAsia" w:hAnsiTheme="minorEastAsia"/>
          <w:szCs w:val="21"/>
        </w:rPr>
      </w:pPr>
      <w:r>
        <w:rPr>
          <w:rFonts w:hint="eastAsia" w:asciiTheme="minorEastAsia" w:hAnsiTheme="minorEastAsia"/>
          <w:szCs w:val="21"/>
        </w:rPr>
        <w:t>2、投资方投入的固定资产，以投资时各方议定的价格作为入账价值；</w:t>
      </w:r>
    </w:p>
    <w:p>
      <w:pPr>
        <w:spacing w:line="360" w:lineRule="auto"/>
        <w:ind w:firstLine="420" w:firstLineChars="200"/>
        <w:rPr>
          <w:rFonts w:asciiTheme="minorEastAsia" w:hAnsiTheme="minorEastAsia"/>
          <w:szCs w:val="21"/>
        </w:rPr>
      </w:pPr>
      <w:r>
        <w:rPr>
          <w:rFonts w:hint="eastAsia" w:asciiTheme="minorEastAsia" w:hAnsiTheme="minorEastAsia"/>
          <w:szCs w:val="21"/>
        </w:rPr>
        <w:t>3、自制自建的固定资产，以制造或建造过程中所发生的实际支出为原价；</w:t>
      </w:r>
    </w:p>
    <w:p>
      <w:pPr>
        <w:spacing w:line="360" w:lineRule="auto"/>
        <w:ind w:firstLine="420" w:firstLineChars="200"/>
        <w:rPr>
          <w:rFonts w:asciiTheme="minorEastAsia" w:hAnsiTheme="minorEastAsia"/>
          <w:szCs w:val="21"/>
        </w:rPr>
      </w:pPr>
      <w:r>
        <w:rPr>
          <w:rFonts w:hint="eastAsia" w:asciiTheme="minorEastAsia" w:hAnsiTheme="minorEastAsia"/>
          <w:szCs w:val="21"/>
        </w:rPr>
        <w:t>4、公司对固定资产进行改良所发生的能够增加固定资产价值的支出，要调增固定资产的账面价值；</w:t>
      </w:r>
    </w:p>
    <w:p>
      <w:pPr>
        <w:pStyle w:val="14"/>
        <w:spacing w:line="360" w:lineRule="auto"/>
        <w:ind w:left="0"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5、盘盈的固定资产，按同类或类似固定资产的市场价格，减去按该项资产的新旧程度估计的价值损耗后的余额，作为入账价值。</w:t>
      </w:r>
    </w:p>
    <w:p>
      <w:pPr>
        <w:pStyle w:val="9"/>
        <w:spacing w:line="360" w:lineRule="auto"/>
        <w:ind w:left="0"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6、公司购置计算机硬件所附带的、未单独计价的软件，与所购置的计算机硬件一并作为固定资产管理。单独计价的软件视用途按有关规定摊销。</w:t>
      </w:r>
    </w:p>
    <w:p>
      <w:pPr>
        <w:pStyle w:val="5"/>
        <w:spacing w:line="360" w:lineRule="auto"/>
        <w:ind w:left="0"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7、已达到预定可使用状态但尚未办理竣工决算手续的固定资产，可先按估计价值记账，待确定实际价值后，再行调整。</w:t>
      </w:r>
    </w:p>
    <w:p>
      <w:pPr>
        <w:pStyle w:val="9"/>
        <w:spacing w:line="360" w:lineRule="auto"/>
        <w:ind w:left="0"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8、固定资产的入账价值，还应包括公司为取得固定资产而交纳的契税、耕地占用税、车辆购置税等相关税费。</w:t>
      </w:r>
    </w:p>
    <w:p>
      <w:pPr>
        <w:pStyle w:val="9"/>
        <w:numPr>
          <w:ilvl w:val="0"/>
          <w:numId w:val="1"/>
        </w:numPr>
        <w:spacing w:line="360" w:lineRule="auto"/>
        <w:rPr>
          <w:rFonts w:asciiTheme="minorEastAsia" w:hAnsiTheme="minorEastAsia" w:eastAsiaTheme="minorEastAsia"/>
          <w:sz w:val="21"/>
          <w:szCs w:val="21"/>
        </w:rPr>
      </w:pPr>
      <w:r>
        <w:rPr>
          <w:rFonts w:hint="eastAsia" w:asciiTheme="minorEastAsia" w:hAnsiTheme="minorEastAsia" w:eastAsiaTheme="minorEastAsia"/>
          <w:sz w:val="21"/>
          <w:szCs w:val="21"/>
        </w:rPr>
        <w:t>为购建固定资产而发生的借款费用，应按国家有关规定，予以资本化。</w:t>
      </w:r>
    </w:p>
    <w:p>
      <w:pPr>
        <w:spacing w:line="360" w:lineRule="auto"/>
        <w:ind w:firstLine="420" w:firstLineChars="200"/>
        <w:rPr>
          <w:rFonts w:asciiTheme="minorEastAsia" w:hAnsiTheme="minorEastAsia"/>
          <w:szCs w:val="21"/>
        </w:rPr>
      </w:pPr>
      <w:r>
        <w:rPr>
          <w:rFonts w:hint="eastAsia" w:asciiTheme="minorEastAsia" w:hAnsiTheme="minorEastAsia"/>
          <w:szCs w:val="21"/>
        </w:rPr>
        <w:t>第七条 公司固定资产应按原值入帐，入帐后固定资产价值不能随意变动。凡属下列情况者方可调整固定资产账面价值：</w:t>
      </w:r>
    </w:p>
    <w:p>
      <w:pPr>
        <w:spacing w:line="360" w:lineRule="auto"/>
        <w:ind w:firstLine="420" w:firstLineChars="200"/>
        <w:rPr>
          <w:rFonts w:asciiTheme="minorEastAsia" w:hAnsiTheme="minorEastAsia"/>
          <w:szCs w:val="21"/>
        </w:rPr>
      </w:pPr>
      <w:r>
        <w:rPr>
          <w:rFonts w:hint="eastAsia" w:asciiTheme="minorEastAsia" w:hAnsiTheme="minorEastAsia"/>
          <w:szCs w:val="21"/>
        </w:rPr>
        <w:t>1、增加补充设备或对固定资产进行改良；</w:t>
      </w:r>
    </w:p>
    <w:p>
      <w:pPr>
        <w:spacing w:line="360" w:lineRule="auto"/>
        <w:ind w:firstLine="420" w:firstLineChars="200"/>
        <w:rPr>
          <w:rFonts w:asciiTheme="minorEastAsia" w:hAnsiTheme="minorEastAsia"/>
          <w:szCs w:val="21"/>
        </w:rPr>
      </w:pPr>
      <w:r>
        <w:rPr>
          <w:rFonts w:hint="eastAsia" w:asciiTheme="minorEastAsia" w:hAnsiTheme="minorEastAsia"/>
          <w:szCs w:val="21"/>
        </w:rPr>
        <w:t>2、将固定资产一部分拆除；</w:t>
      </w:r>
    </w:p>
    <w:p>
      <w:pPr>
        <w:pStyle w:val="31"/>
        <w:numPr>
          <w:ilvl w:val="0"/>
          <w:numId w:val="2"/>
        </w:numPr>
        <w:spacing w:line="360" w:lineRule="auto"/>
        <w:ind w:firstLineChars="0"/>
        <w:rPr>
          <w:rFonts w:asciiTheme="minorEastAsia" w:hAnsiTheme="minorEastAsia"/>
          <w:szCs w:val="21"/>
        </w:rPr>
      </w:pPr>
      <w:r>
        <w:rPr>
          <w:rFonts w:hint="eastAsia" w:asciiTheme="minorEastAsia" w:hAnsiTheme="minorEastAsia"/>
          <w:szCs w:val="21"/>
        </w:rPr>
        <w:t>根据实际价值调整原来的暂付价值；</w:t>
      </w:r>
    </w:p>
    <w:p>
      <w:pPr>
        <w:pStyle w:val="31"/>
        <w:numPr>
          <w:ilvl w:val="0"/>
          <w:numId w:val="2"/>
        </w:numPr>
        <w:spacing w:line="360" w:lineRule="auto"/>
        <w:ind w:firstLineChars="0"/>
        <w:rPr>
          <w:rFonts w:asciiTheme="minorEastAsia" w:hAnsiTheme="minorEastAsia"/>
          <w:szCs w:val="21"/>
        </w:rPr>
      </w:pPr>
      <w:r>
        <w:rPr>
          <w:rFonts w:hint="eastAsia" w:asciiTheme="minorEastAsia" w:hAnsiTheme="minorEastAsia"/>
          <w:szCs w:val="21"/>
        </w:rPr>
        <w:t>发现原有固定资产价值有错误；</w:t>
      </w:r>
    </w:p>
    <w:p>
      <w:pPr>
        <w:pStyle w:val="31"/>
        <w:numPr>
          <w:ilvl w:val="0"/>
          <w:numId w:val="2"/>
        </w:numPr>
        <w:spacing w:line="360" w:lineRule="auto"/>
        <w:ind w:firstLineChars="0"/>
        <w:rPr>
          <w:rFonts w:asciiTheme="minorEastAsia" w:hAnsiTheme="minorEastAsia"/>
          <w:szCs w:val="21"/>
        </w:rPr>
      </w:pPr>
      <w:r>
        <w:rPr>
          <w:rFonts w:hint="eastAsia" w:asciiTheme="minorEastAsia" w:hAnsiTheme="minorEastAsia"/>
          <w:szCs w:val="21"/>
        </w:rPr>
        <w:t xml:space="preserve">根据国家规定对固定资产重新估价。     </w:t>
      </w:r>
    </w:p>
    <w:p>
      <w:pPr>
        <w:spacing w:line="360" w:lineRule="auto"/>
        <w:ind w:firstLine="420" w:firstLineChars="200"/>
        <w:rPr>
          <w:rFonts w:asciiTheme="minorEastAsia" w:hAnsiTheme="minorEastAsia"/>
          <w:sz w:val="32"/>
          <w:szCs w:val="32"/>
        </w:rPr>
      </w:pPr>
      <w:r>
        <w:rPr>
          <w:rFonts w:hint="eastAsia" w:asciiTheme="minorEastAsia" w:hAnsiTheme="minorEastAsia"/>
          <w:szCs w:val="21"/>
        </w:rPr>
        <w:t>第八条 不得随意计提固定资产减值准备。当有确切的证据表明该类或个别固定资产已经而且在可预见的未来低于市场价值，经相关部门确认并经总经理批准后，方可对低于市价的差额计提固定资产减值准备。</w:t>
      </w:r>
    </w:p>
    <w:p>
      <w:pPr>
        <w:spacing w:line="360" w:lineRule="auto"/>
        <w:ind w:firstLine="420" w:firstLineChars="200"/>
        <w:jc w:val="left"/>
        <w:rPr>
          <w:rFonts w:asciiTheme="minorEastAsia" w:hAnsiTheme="minorEastAsia"/>
          <w:szCs w:val="21"/>
        </w:rPr>
      </w:pPr>
      <w:r>
        <w:rPr>
          <w:rFonts w:hint="eastAsia" w:asciiTheme="minorEastAsia" w:hAnsiTheme="minorEastAsia"/>
          <w:szCs w:val="21"/>
        </w:rPr>
        <w:t xml:space="preserve">第九条 </w:t>
      </w:r>
      <w:r>
        <w:rPr>
          <w:rFonts w:asciiTheme="minorEastAsia" w:hAnsiTheme="minorEastAsia"/>
          <w:szCs w:val="21"/>
        </w:rPr>
        <w:t>根据</w:t>
      </w:r>
      <w:r>
        <w:rPr>
          <w:rFonts w:hint="eastAsia" w:asciiTheme="minorEastAsia" w:hAnsiTheme="minorEastAsia"/>
          <w:szCs w:val="21"/>
        </w:rPr>
        <w:t>企业会计准则</w:t>
      </w:r>
      <w:r>
        <w:rPr>
          <w:rFonts w:asciiTheme="minorEastAsia" w:hAnsiTheme="minorEastAsia"/>
          <w:szCs w:val="21"/>
        </w:rPr>
        <w:t>规定，结合本公司的具体情况，折旧方法采用平均年限法。固定资产的净残值为固定资产原值的</w:t>
      </w:r>
      <w:r>
        <w:rPr>
          <w:rFonts w:hint="eastAsia" w:asciiTheme="minorEastAsia" w:hAnsiTheme="minorEastAsia"/>
          <w:szCs w:val="21"/>
        </w:rPr>
        <w:t>5</w:t>
      </w:r>
      <w:r>
        <w:rPr>
          <w:rFonts w:asciiTheme="minorEastAsia" w:hAnsiTheme="minorEastAsia"/>
          <w:szCs w:val="21"/>
        </w:rPr>
        <w:t>%。</w:t>
      </w:r>
      <w:r>
        <w:rPr>
          <w:rFonts w:hint="eastAsia" w:asciiTheme="minorEastAsia" w:hAnsiTheme="minorEastAsia"/>
          <w:szCs w:val="21"/>
        </w:rPr>
        <w:t>本公司各类固定资产的预计使用年限为：</w:t>
      </w:r>
    </w:p>
    <w:p>
      <w:pPr>
        <w:spacing w:line="360" w:lineRule="auto"/>
        <w:jc w:val="left"/>
        <w:rPr>
          <w:rFonts w:asciiTheme="minorEastAsia" w:hAnsiTheme="minorEastAsia"/>
          <w:szCs w:val="21"/>
        </w:rPr>
      </w:pPr>
      <w:r>
        <w:rPr>
          <w:rFonts w:hint="eastAsia" w:asciiTheme="minorEastAsia" w:hAnsiTheme="minorEastAsia"/>
          <w:szCs w:val="21"/>
        </w:rPr>
        <w:t xml:space="preserve">           固定资产类别                    经济使用年限</w:t>
      </w:r>
    </w:p>
    <w:p>
      <w:pPr>
        <w:spacing w:line="360" w:lineRule="auto"/>
        <w:jc w:val="left"/>
        <w:rPr>
          <w:rFonts w:asciiTheme="minorEastAsia" w:hAnsiTheme="minorEastAsia"/>
          <w:szCs w:val="21"/>
        </w:rPr>
      </w:pPr>
      <w:r>
        <w:rPr>
          <w:rFonts w:hint="eastAsia" w:asciiTheme="minorEastAsia" w:hAnsiTheme="minorEastAsia"/>
          <w:szCs w:val="21"/>
        </w:rPr>
        <w:t xml:space="preserve">           房屋建筑物                           20</w:t>
      </w:r>
    </w:p>
    <w:p>
      <w:pPr>
        <w:spacing w:line="360" w:lineRule="auto"/>
        <w:jc w:val="left"/>
        <w:rPr>
          <w:rFonts w:asciiTheme="minorEastAsia" w:hAnsiTheme="minorEastAsia"/>
          <w:szCs w:val="21"/>
        </w:rPr>
      </w:pPr>
      <w:r>
        <w:rPr>
          <w:rFonts w:hint="eastAsia" w:asciiTheme="minorEastAsia" w:hAnsiTheme="minorEastAsia"/>
          <w:szCs w:val="21"/>
        </w:rPr>
        <w:t xml:space="preserve">           机器机械设备                         5</w:t>
      </w:r>
    </w:p>
    <w:p>
      <w:pPr>
        <w:spacing w:line="360" w:lineRule="auto"/>
        <w:jc w:val="left"/>
        <w:rPr>
          <w:rFonts w:asciiTheme="minorEastAsia" w:hAnsiTheme="minorEastAsia"/>
          <w:szCs w:val="21"/>
        </w:rPr>
      </w:pPr>
      <w:r>
        <w:rPr>
          <w:rFonts w:hint="eastAsia" w:asciiTheme="minorEastAsia" w:hAnsiTheme="minorEastAsia"/>
          <w:szCs w:val="21"/>
        </w:rPr>
        <w:t xml:space="preserve">           交通运输工具                         4</w:t>
      </w:r>
    </w:p>
    <w:p>
      <w:pPr>
        <w:spacing w:line="360" w:lineRule="auto"/>
        <w:ind w:firstLine="1155" w:firstLineChars="550"/>
        <w:jc w:val="left"/>
        <w:rPr>
          <w:rFonts w:asciiTheme="minorEastAsia" w:hAnsiTheme="minorEastAsia"/>
          <w:szCs w:val="21"/>
        </w:rPr>
      </w:pPr>
      <w:r>
        <w:rPr>
          <w:rFonts w:hint="eastAsia" w:asciiTheme="minorEastAsia" w:hAnsiTheme="minorEastAsia"/>
          <w:szCs w:val="21"/>
        </w:rPr>
        <w:t>电子设备                             3</w:t>
      </w:r>
    </w:p>
    <w:p>
      <w:pPr>
        <w:spacing w:line="360" w:lineRule="auto"/>
        <w:jc w:val="left"/>
        <w:rPr>
          <w:rFonts w:asciiTheme="minorEastAsia" w:hAnsiTheme="minorEastAsia"/>
          <w:szCs w:val="21"/>
        </w:rPr>
      </w:pPr>
      <w:r>
        <w:rPr>
          <w:rFonts w:hint="eastAsia" w:asciiTheme="minorEastAsia" w:hAnsiTheme="minorEastAsia"/>
          <w:szCs w:val="21"/>
        </w:rPr>
        <w:t xml:space="preserve">           办公家具                             5</w:t>
      </w:r>
    </w:p>
    <w:p>
      <w:pPr>
        <w:spacing w:line="360" w:lineRule="auto"/>
        <w:ind w:firstLine="420" w:firstLineChars="200"/>
        <w:jc w:val="left"/>
        <w:rPr>
          <w:rFonts w:asciiTheme="minorEastAsia" w:hAnsiTheme="minorEastAsia"/>
          <w:szCs w:val="21"/>
        </w:rPr>
      </w:pPr>
      <w:r>
        <w:rPr>
          <w:rFonts w:hint="eastAsia" w:asciiTheme="minorEastAsia" w:hAnsiTheme="minorEastAsia"/>
          <w:szCs w:val="21"/>
        </w:rPr>
        <w:t xml:space="preserve">第十条 </w:t>
      </w:r>
      <w:r>
        <w:rPr>
          <w:rFonts w:asciiTheme="minorEastAsia" w:hAnsiTheme="minorEastAsia"/>
          <w:szCs w:val="21"/>
        </w:rPr>
        <w:t>除以下情况外，企业应对所有固定资产计提折旧：</w:t>
      </w:r>
      <w:r>
        <w:rPr>
          <w:rFonts w:hint="eastAsia" w:asciiTheme="minorEastAsia" w:hAnsiTheme="minorEastAsia"/>
          <w:szCs w:val="21"/>
        </w:rPr>
        <w:t xml:space="preserve"> </w:t>
      </w:r>
    </w:p>
    <w:p>
      <w:pPr>
        <w:spacing w:line="360" w:lineRule="auto"/>
        <w:ind w:firstLine="420"/>
        <w:jc w:val="left"/>
        <w:rPr>
          <w:rFonts w:asciiTheme="minorEastAsia" w:hAnsiTheme="minorEastAsia"/>
          <w:szCs w:val="21"/>
        </w:rPr>
      </w:pPr>
      <w:r>
        <w:rPr>
          <w:rFonts w:hint="eastAsia" w:asciiTheme="minorEastAsia" w:hAnsiTheme="minorEastAsia"/>
          <w:szCs w:val="21"/>
        </w:rPr>
        <w:t xml:space="preserve">a </w:t>
      </w:r>
      <w:r>
        <w:rPr>
          <w:rFonts w:asciiTheme="minorEastAsia" w:hAnsiTheme="minorEastAsia"/>
          <w:szCs w:val="21"/>
        </w:rPr>
        <w:t>已提足折旧仍继续使用的固定资产；</w:t>
      </w:r>
    </w:p>
    <w:p>
      <w:pPr>
        <w:spacing w:line="360" w:lineRule="auto"/>
        <w:ind w:firstLine="420"/>
        <w:jc w:val="left"/>
        <w:rPr>
          <w:rFonts w:asciiTheme="minorEastAsia" w:hAnsiTheme="minorEastAsia"/>
          <w:szCs w:val="21"/>
        </w:rPr>
      </w:pPr>
      <w:r>
        <w:rPr>
          <w:rFonts w:hint="eastAsia" w:asciiTheme="minorEastAsia" w:hAnsiTheme="minorEastAsia"/>
          <w:szCs w:val="21"/>
        </w:rPr>
        <w:t xml:space="preserve">b </w:t>
      </w:r>
      <w:r>
        <w:rPr>
          <w:rFonts w:asciiTheme="minorEastAsia" w:hAnsiTheme="minorEastAsia"/>
          <w:szCs w:val="21"/>
        </w:rPr>
        <w:t>按规定单独估价作为固定资产入账的土地</w:t>
      </w:r>
    </w:p>
    <w:p>
      <w:pPr>
        <w:spacing w:line="360" w:lineRule="auto"/>
        <w:ind w:firstLine="420" w:firstLineChars="200"/>
        <w:jc w:val="left"/>
        <w:rPr>
          <w:rFonts w:cs="宋体" w:asciiTheme="minorEastAsia" w:hAnsiTheme="minorEastAsia"/>
          <w:color w:val="000000"/>
          <w:spacing w:val="16"/>
          <w:kern w:val="0"/>
          <w:szCs w:val="21"/>
        </w:rPr>
      </w:pPr>
      <w:r>
        <w:rPr>
          <w:rFonts w:hint="eastAsia" w:asciiTheme="minorEastAsia" w:hAnsiTheme="minorEastAsia"/>
          <w:szCs w:val="21"/>
        </w:rPr>
        <w:t xml:space="preserve">第十一条 </w:t>
      </w:r>
      <w:r>
        <w:rPr>
          <w:rFonts w:hint="eastAsia" w:cs="宋体" w:asciiTheme="minorEastAsia" w:hAnsiTheme="minorEastAsia"/>
          <w:color w:val="000000"/>
          <w:spacing w:val="16"/>
          <w:kern w:val="0"/>
          <w:szCs w:val="21"/>
        </w:rPr>
        <w:t>当月增加的固定资产，当月不计提折旧，从下月起计提折旧；当月减少的固定资产，当月仍计提折旧，从下月起不计提折旧。</w:t>
      </w:r>
      <w:r>
        <w:rPr>
          <w:rFonts w:asciiTheme="minorEastAsia" w:hAnsiTheme="minorEastAsia"/>
          <w:szCs w:val="21"/>
        </w:rPr>
        <w:t>提前报废的固定资产，其净损失计入营业外支出，不再补提折旧。</w:t>
      </w:r>
      <w:r>
        <w:rPr>
          <w:rFonts w:asciiTheme="minorEastAsia" w:hAnsiTheme="minorEastAsia"/>
          <w:szCs w:val="21"/>
        </w:rPr>
        <w:br w:type="textWrapping"/>
      </w:r>
      <w:r>
        <w:rPr>
          <w:rFonts w:hint="eastAsia" w:asciiTheme="minorEastAsia" w:hAnsiTheme="minorEastAsia"/>
          <w:szCs w:val="21"/>
        </w:rPr>
        <w:t xml:space="preserve">    第十二条 </w:t>
      </w:r>
      <w:r>
        <w:rPr>
          <w:rFonts w:hint="eastAsia" w:cs="宋体" w:asciiTheme="minorEastAsia" w:hAnsiTheme="minorEastAsia"/>
          <w:color w:val="000000"/>
          <w:spacing w:val="16"/>
          <w:kern w:val="0"/>
          <w:szCs w:val="21"/>
        </w:rPr>
        <w:t>已达到预定可使用状态但尚未办理竣工决算的固定资产，应当按照估计价值确定其成本，并计提折旧；待办理竣工决算后再按实际成本调整原来的暂估价值，但不需要调整原已计提的折旧额。</w:t>
      </w:r>
    </w:p>
    <w:p>
      <w:pPr>
        <w:spacing w:line="360" w:lineRule="auto"/>
        <w:ind w:firstLine="420" w:firstLineChars="200"/>
        <w:jc w:val="left"/>
        <w:rPr>
          <w:rFonts w:asciiTheme="minorEastAsia" w:hAnsiTheme="minorEastAsia"/>
          <w:szCs w:val="21"/>
        </w:rPr>
      </w:pPr>
      <w:r>
        <w:rPr>
          <w:rFonts w:hint="eastAsia" w:asciiTheme="minorEastAsia" w:hAnsiTheme="minorEastAsia"/>
          <w:szCs w:val="21"/>
        </w:rPr>
        <w:t xml:space="preserve">第十三条 </w:t>
      </w:r>
      <w:r>
        <w:rPr>
          <w:rFonts w:asciiTheme="minorEastAsia" w:hAnsiTheme="minorEastAsia"/>
          <w:szCs w:val="21"/>
        </w:rPr>
        <w:t>平均年限法的固定资产折旧率和折旧额的计算公式如下：</w:t>
      </w:r>
    </w:p>
    <w:p>
      <w:pPr>
        <w:spacing w:line="360" w:lineRule="auto"/>
        <w:ind w:firstLine="420" w:firstLineChars="200"/>
        <w:jc w:val="left"/>
        <w:rPr>
          <w:rFonts w:asciiTheme="minorEastAsia" w:hAnsiTheme="minorEastAsia"/>
          <w:szCs w:val="21"/>
        </w:rPr>
      </w:pPr>
      <w:r>
        <w:rPr>
          <w:rFonts w:hint="eastAsia" w:asciiTheme="minorEastAsia" w:hAnsiTheme="minorEastAsia"/>
          <w:szCs w:val="21"/>
        </w:rPr>
        <w:t xml:space="preserve">年折旧率＝(l－预计净残值率)÷预计使用寿命(年)×l00% </w:t>
      </w:r>
    </w:p>
    <w:p>
      <w:pPr>
        <w:spacing w:line="360" w:lineRule="auto"/>
        <w:ind w:firstLine="420" w:firstLineChars="200"/>
        <w:jc w:val="left"/>
        <w:rPr>
          <w:rFonts w:asciiTheme="minorEastAsia" w:hAnsiTheme="minorEastAsia"/>
          <w:szCs w:val="21"/>
        </w:rPr>
      </w:pPr>
      <w:r>
        <w:rPr>
          <w:rFonts w:hint="eastAsia" w:asciiTheme="minorEastAsia" w:hAnsiTheme="minorEastAsia"/>
          <w:szCs w:val="21"/>
        </w:rPr>
        <w:t>月折旧率＝年折旧率÷12</w:t>
      </w:r>
    </w:p>
    <w:p>
      <w:pPr>
        <w:spacing w:line="360" w:lineRule="auto"/>
        <w:ind w:firstLine="420" w:firstLineChars="200"/>
        <w:jc w:val="left"/>
        <w:rPr>
          <w:rFonts w:asciiTheme="minorEastAsia" w:hAnsiTheme="minorEastAsia"/>
          <w:b/>
          <w:szCs w:val="21"/>
        </w:rPr>
      </w:pPr>
      <w:r>
        <w:rPr>
          <w:rFonts w:hint="eastAsia" w:asciiTheme="minorEastAsia" w:hAnsiTheme="minorEastAsia"/>
          <w:szCs w:val="21"/>
        </w:rPr>
        <w:t>月折旧额＝固定资产原价×月折旧率</w:t>
      </w:r>
    </w:p>
    <w:p>
      <w:pPr>
        <w:spacing w:line="360" w:lineRule="auto"/>
        <w:ind w:firstLine="420" w:firstLineChars="200"/>
        <w:jc w:val="left"/>
        <w:rPr>
          <w:rFonts w:asciiTheme="minorEastAsia" w:hAnsiTheme="minorEastAsia"/>
          <w:szCs w:val="21"/>
        </w:rPr>
      </w:pPr>
      <w:r>
        <w:rPr>
          <w:rFonts w:hint="eastAsia" w:asciiTheme="minorEastAsia" w:hAnsiTheme="minorEastAsia"/>
          <w:szCs w:val="21"/>
        </w:rPr>
        <w:t xml:space="preserve">第十四条 </w:t>
      </w:r>
      <w:r>
        <w:rPr>
          <w:rFonts w:asciiTheme="minorEastAsia" w:hAnsiTheme="minorEastAsia"/>
          <w:szCs w:val="21"/>
        </w:rPr>
        <w:t>按照规定提取的固定资产折旧，分别按用途性质计入制造费用、管理费用和营业费用等。</w:t>
      </w:r>
      <w:r>
        <w:rPr>
          <w:rFonts w:hint="eastAsia" w:asciiTheme="minorEastAsia" w:hAnsiTheme="minorEastAsia"/>
          <w:szCs w:val="21"/>
        </w:rPr>
        <w:t xml:space="preserve"> </w:t>
      </w:r>
    </w:p>
    <w:p>
      <w:pPr>
        <w:autoSpaceDE w:val="0"/>
        <w:autoSpaceDN w:val="0"/>
        <w:adjustRightInd w:val="0"/>
        <w:spacing w:line="360" w:lineRule="auto"/>
        <w:jc w:val="center"/>
        <w:rPr>
          <w:rFonts w:asciiTheme="minorEastAsia" w:hAnsiTheme="minorEastAsia"/>
          <w:b/>
          <w:sz w:val="32"/>
          <w:szCs w:val="32"/>
        </w:rPr>
      </w:pPr>
      <w:r>
        <w:rPr>
          <w:rFonts w:hint="eastAsia" w:asciiTheme="minorEastAsia" w:hAnsiTheme="minorEastAsia"/>
          <w:b/>
          <w:sz w:val="32"/>
          <w:szCs w:val="32"/>
        </w:rPr>
        <w:t>四、固定资产的</w:t>
      </w:r>
      <w:r>
        <w:rPr>
          <w:rFonts w:hint="eastAsia" w:asciiTheme="minorEastAsia" w:hAnsiTheme="minorEastAsia"/>
          <w:b/>
          <w:bCs/>
          <w:kern w:val="0"/>
          <w:sz w:val="32"/>
          <w:szCs w:val="32"/>
        </w:rPr>
        <w:t>取得、验收与领用</w:t>
      </w:r>
    </w:p>
    <w:p>
      <w:pPr>
        <w:spacing w:line="360" w:lineRule="auto"/>
        <w:ind w:firstLine="420" w:firstLineChars="200"/>
        <w:rPr>
          <w:rFonts w:asciiTheme="minorEastAsia" w:hAnsiTheme="minorEastAsia"/>
          <w:szCs w:val="21"/>
        </w:rPr>
      </w:pPr>
      <w:r>
        <w:rPr>
          <w:rFonts w:hint="eastAsia" w:asciiTheme="minorEastAsia" w:hAnsiTheme="minorEastAsia"/>
          <w:szCs w:val="21"/>
        </w:rPr>
        <w:t>第十五条 固定资产的取得实行预算管理制度</w:t>
      </w:r>
    </w:p>
    <w:p>
      <w:pPr>
        <w:spacing w:line="360" w:lineRule="auto"/>
        <w:ind w:firstLine="420" w:firstLineChars="200"/>
        <w:rPr>
          <w:rFonts w:asciiTheme="minorEastAsia" w:hAnsiTheme="minorEastAsia"/>
          <w:szCs w:val="21"/>
        </w:rPr>
      </w:pPr>
      <w:r>
        <w:rPr>
          <w:rFonts w:hint="eastAsia" w:asciiTheme="minorEastAsia" w:hAnsiTheme="minorEastAsia"/>
          <w:szCs w:val="21"/>
        </w:rPr>
        <w:t>1、固定资产的使用部门在每年年底编制本部门下一年度的固定资产预算方案，经部门经理审核后交综合管理部。 综合管理部人员进行整理和汇总，编制固定资产预算。</w:t>
      </w:r>
    </w:p>
    <w:p>
      <w:pPr>
        <w:spacing w:line="360" w:lineRule="auto"/>
        <w:ind w:firstLine="420" w:firstLineChars="200"/>
        <w:rPr>
          <w:rFonts w:asciiTheme="minorEastAsia" w:hAnsiTheme="minorEastAsia"/>
          <w:szCs w:val="21"/>
        </w:rPr>
      </w:pPr>
      <w:r>
        <w:rPr>
          <w:rFonts w:hint="eastAsia" w:asciiTheme="minorEastAsia" w:hAnsiTheme="minorEastAsia"/>
          <w:szCs w:val="21"/>
        </w:rPr>
        <w:t>2、预算审批实行集体决策和审批，由综合管理部经理将预算报告提交至财务部经理，财务部经理审核后提交至资财中心总经理，资财中心总经理审核后提交至总经理，总经理组织总经理办公会审议，审议通过后总经理签字下发相关部门。</w:t>
      </w:r>
    </w:p>
    <w:p>
      <w:pPr>
        <w:spacing w:line="360" w:lineRule="auto"/>
        <w:ind w:firstLine="420" w:firstLineChars="200"/>
        <w:rPr>
          <w:rFonts w:asciiTheme="minorEastAsia" w:hAnsiTheme="minorEastAsia"/>
          <w:szCs w:val="21"/>
        </w:rPr>
      </w:pPr>
      <w:r>
        <w:rPr>
          <w:rFonts w:hint="eastAsia" w:asciiTheme="minorEastAsia" w:hAnsiTheme="minorEastAsia"/>
          <w:szCs w:val="21"/>
        </w:rPr>
        <w:t>3、预算报告应从低到高层层审批，每一级审批都应在报告上签名并提出修改建议，防止出现决策失误而给公司造成严重损失。</w:t>
      </w:r>
    </w:p>
    <w:p>
      <w:pPr>
        <w:spacing w:line="360" w:lineRule="auto"/>
        <w:ind w:firstLine="420" w:firstLineChars="200"/>
        <w:rPr>
          <w:rFonts w:asciiTheme="minorEastAsia" w:hAnsiTheme="minorEastAsia"/>
          <w:szCs w:val="21"/>
        </w:rPr>
      </w:pPr>
      <w:r>
        <w:rPr>
          <w:rFonts w:hint="eastAsia" w:asciiTheme="minorEastAsia" w:hAnsiTheme="minorEastAsia"/>
          <w:szCs w:val="21"/>
        </w:rPr>
        <w:t>4、各相关部门应严格执行固定资产投资预算。对于预算内固定资产投资项目，有关部门应严格按照预算执行进度办理相关手续。</w:t>
      </w:r>
    </w:p>
    <w:p>
      <w:pPr>
        <w:spacing w:line="360" w:lineRule="auto"/>
        <w:ind w:firstLine="420" w:firstLineChars="200"/>
        <w:rPr>
          <w:rFonts w:asciiTheme="minorEastAsia" w:hAnsiTheme="minorEastAsia"/>
          <w:szCs w:val="21"/>
        </w:rPr>
      </w:pPr>
      <w:r>
        <w:rPr>
          <w:rFonts w:hint="eastAsia" w:asciiTheme="minorEastAsia" w:hAnsiTheme="minorEastAsia"/>
          <w:szCs w:val="21"/>
        </w:rPr>
        <w:t>5、对于超预算或预算外固定资产投资项目，应由固定资产相关责任部门提出申请，经审批后再办理相关手续。</w:t>
      </w:r>
    </w:p>
    <w:p>
      <w:pPr>
        <w:spacing w:line="360" w:lineRule="auto"/>
        <w:ind w:firstLine="420" w:firstLineChars="200"/>
        <w:rPr>
          <w:rFonts w:asciiTheme="minorEastAsia" w:hAnsiTheme="minorEastAsia"/>
          <w:szCs w:val="21"/>
        </w:rPr>
      </w:pPr>
      <w:r>
        <w:rPr>
          <w:rFonts w:hint="eastAsia" w:asciiTheme="minorEastAsia" w:hAnsiTheme="minorEastAsia"/>
          <w:szCs w:val="21"/>
        </w:rPr>
        <w:t>第十六条 固定资产购置流程</w:t>
      </w:r>
    </w:p>
    <w:p>
      <w:pPr>
        <w:spacing w:line="360" w:lineRule="auto"/>
        <w:ind w:firstLine="420" w:firstLineChars="200"/>
        <w:rPr>
          <w:rFonts w:asciiTheme="minorEastAsia" w:hAnsiTheme="minorEastAsia"/>
          <w:szCs w:val="21"/>
        </w:rPr>
      </w:pPr>
      <w:r>
        <w:rPr>
          <w:rFonts w:hint="eastAsia" w:asciiTheme="minorEastAsia" w:hAnsiTheme="minorEastAsia"/>
          <w:szCs w:val="21"/>
        </w:rPr>
        <w:t>1．固定资产的购置由固定资产使用部门填制《固定资产购置申请单》，若属预算外采购，还需递交《预算外固定资产购置说明》。</w:t>
      </w:r>
    </w:p>
    <w:p>
      <w:pPr>
        <w:spacing w:line="360" w:lineRule="auto"/>
        <w:ind w:firstLine="420" w:firstLineChars="200"/>
        <w:rPr>
          <w:rFonts w:asciiTheme="minorEastAsia" w:hAnsiTheme="minorEastAsia"/>
          <w:szCs w:val="21"/>
        </w:rPr>
      </w:pPr>
      <w:r>
        <w:rPr>
          <w:rFonts w:hint="eastAsia" w:asciiTheme="minorEastAsia" w:hAnsiTheme="minorEastAsia"/>
          <w:szCs w:val="21"/>
        </w:rPr>
        <w:t>2．《固定资产购置申请单》由部门经理审核签字后交至综合管理部经理，</w:t>
      </w:r>
    </w:p>
    <w:p>
      <w:pPr>
        <w:spacing w:line="360" w:lineRule="auto"/>
        <w:ind w:firstLine="315" w:firstLineChars="150"/>
        <w:rPr>
          <w:rFonts w:asciiTheme="minorEastAsia" w:hAnsiTheme="minorEastAsia"/>
          <w:szCs w:val="21"/>
        </w:rPr>
      </w:pPr>
      <w:r>
        <w:rPr>
          <w:rFonts w:hint="eastAsia" w:asciiTheme="minorEastAsia" w:hAnsiTheme="minorEastAsia"/>
          <w:szCs w:val="21"/>
        </w:rPr>
        <w:t xml:space="preserve"> 3．综合管理部经理对使用部门提交的购置单进行审核，签字后提交至财务部经理。</w:t>
      </w:r>
    </w:p>
    <w:p>
      <w:pPr>
        <w:spacing w:line="360" w:lineRule="auto"/>
        <w:ind w:firstLine="420" w:firstLineChars="200"/>
        <w:rPr>
          <w:rFonts w:asciiTheme="minorEastAsia" w:hAnsiTheme="minorEastAsia"/>
          <w:szCs w:val="21"/>
        </w:rPr>
      </w:pPr>
      <w:r>
        <w:rPr>
          <w:rFonts w:hint="eastAsia" w:asciiTheme="minorEastAsia" w:hAnsiTheme="minorEastAsia"/>
          <w:szCs w:val="21"/>
        </w:rPr>
        <w:t>4．财务部经理审核签字后提交至资财中心总经理。</w:t>
      </w:r>
    </w:p>
    <w:p>
      <w:pPr>
        <w:spacing w:line="360" w:lineRule="auto"/>
        <w:ind w:firstLine="420" w:firstLineChars="200"/>
        <w:rPr>
          <w:rFonts w:asciiTheme="minorEastAsia" w:hAnsiTheme="minorEastAsia"/>
          <w:szCs w:val="21"/>
        </w:rPr>
      </w:pPr>
      <w:r>
        <w:rPr>
          <w:rFonts w:hint="eastAsia" w:asciiTheme="minorEastAsia" w:hAnsiTheme="minorEastAsia"/>
          <w:szCs w:val="21"/>
        </w:rPr>
        <w:t>5．资财中心总经理审核签字后提交至总经理。</w:t>
      </w:r>
    </w:p>
    <w:p>
      <w:pPr>
        <w:spacing w:line="360" w:lineRule="auto"/>
        <w:ind w:firstLine="420" w:firstLineChars="200"/>
        <w:rPr>
          <w:rFonts w:asciiTheme="minorEastAsia" w:hAnsiTheme="minorEastAsia"/>
          <w:szCs w:val="21"/>
        </w:rPr>
      </w:pPr>
      <w:r>
        <w:rPr>
          <w:rFonts w:hint="eastAsia" w:asciiTheme="minorEastAsia" w:hAnsiTheme="minorEastAsia"/>
          <w:szCs w:val="21"/>
        </w:rPr>
        <w:t>6．总经理审批签字后送交采购部进行采购。</w:t>
      </w:r>
    </w:p>
    <w:p>
      <w:pPr>
        <w:spacing w:line="360" w:lineRule="auto"/>
        <w:ind w:firstLine="420" w:firstLineChars="200"/>
        <w:rPr>
          <w:rFonts w:asciiTheme="minorEastAsia" w:hAnsiTheme="minorEastAsia"/>
          <w:szCs w:val="21"/>
        </w:rPr>
      </w:pPr>
      <w:r>
        <w:rPr>
          <w:rFonts w:hint="eastAsia" w:asciiTheme="minorEastAsia" w:hAnsiTheme="minorEastAsia"/>
          <w:szCs w:val="21"/>
        </w:rPr>
        <w:t>第十七条 固定资产购置的审批控制</w:t>
      </w:r>
    </w:p>
    <w:p>
      <w:pPr>
        <w:spacing w:line="360" w:lineRule="auto"/>
        <w:ind w:firstLine="420" w:firstLineChars="200"/>
        <w:rPr>
          <w:rFonts w:asciiTheme="minorEastAsia" w:hAnsiTheme="minorEastAsia"/>
          <w:szCs w:val="21"/>
        </w:rPr>
      </w:pPr>
      <w:r>
        <w:rPr>
          <w:rFonts w:hint="eastAsia" w:asciiTheme="minorEastAsia" w:hAnsiTheme="minorEastAsia"/>
          <w:szCs w:val="21"/>
        </w:rPr>
        <w:t>1．固定资产使用部门应根据年度固定资产预算以及实际的使用需要详细填列《固定资产购置申请单》。</w:t>
      </w:r>
    </w:p>
    <w:p>
      <w:pPr>
        <w:spacing w:line="360" w:lineRule="auto"/>
        <w:ind w:firstLine="420" w:firstLineChars="200"/>
        <w:rPr>
          <w:rFonts w:asciiTheme="minorEastAsia" w:hAnsiTheme="minorEastAsia"/>
          <w:szCs w:val="21"/>
        </w:rPr>
      </w:pPr>
      <w:r>
        <w:rPr>
          <w:rFonts w:hint="eastAsia" w:asciiTheme="minorEastAsia" w:hAnsiTheme="minorEastAsia"/>
          <w:szCs w:val="21"/>
        </w:rPr>
        <w:t>2．《固定资产购置申请单》的内容应包括固定资产名称、规格、型号、预算金额、实际价格、主要制造厂商以及购置原因等。</w:t>
      </w:r>
    </w:p>
    <w:p>
      <w:pPr>
        <w:spacing w:line="360" w:lineRule="auto"/>
        <w:ind w:firstLine="420" w:firstLineChars="200"/>
        <w:rPr>
          <w:rFonts w:asciiTheme="minorEastAsia" w:hAnsiTheme="minorEastAsia"/>
          <w:szCs w:val="21"/>
        </w:rPr>
      </w:pPr>
      <w:r>
        <w:rPr>
          <w:rFonts w:hint="eastAsia" w:asciiTheme="minorEastAsia" w:hAnsiTheme="minorEastAsia"/>
          <w:szCs w:val="21"/>
        </w:rPr>
        <w:t>3．预算外购置应详细说明购置原因。</w:t>
      </w:r>
    </w:p>
    <w:p>
      <w:pPr>
        <w:spacing w:line="360" w:lineRule="auto"/>
        <w:ind w:firstLine="420" w:firstLineChars="200"/>
        <w:rPr>
          <w:rFonts w:asciiTheme="minorEastAsia" w:hAnsiTheme="minorEastAsia"/>
          <w:szCs w:val="21"/>
        </w:rPr>
      </w:pPr>
      <w:r>
        <w:rPr>
          <w:rFonts w:hint="eastAsia" w:asciiTheme="minorEastAsia" w:hAnsiTheme="minorEastAsia"/>
          <w:szCs w:val="21"/>
        </w:rPr>
        <w:t>4．购置审核审批的内容包括购置目的、购置金额大小、购置的数量、是否符合公司实际需要、购置申请是否由部门经理审核、是否属于预算外购置、是否超预算和超预算原因等。</w:t>
      </w:r>
    </w:p>
    <w:p>
      <w:pPr>
        <w:spacing w:line="360" w:lineRule="auto"/>
        <w:ind w:firstLine="420" w:firstLineChars="200"/>
        <w:rPr>
          <w:szCs w:val="21"/>
        </w:rPr>
      </w:pPr>
      <w:r>
        <w:rPr>
          <w:rFonts w:hint="eastAsia"/>
          <w:szCs w:val="21"/>
        </w:rPr>
        <w:t>5、单笔金额超过30万元以上的购置申请，</w:t>
      </w:r>
      <w:r>
        <w:rPr>
          <w:rFonts w:hint="eastAsia" w:asciiTheme="minorEastAsia" w:hAnsiTheme="minorEastAsia"/>
          <w:szCs w:val="21"/>
        </w:rPr>
        <w:t>固定资产使用部门和采购部必须进行充分的市场调研，编制可行性研究报告。报告的内容包括性详细论述购置理由、效益预测、使用效率、选型依据、安装及使用条件等。</w:t>
      </w:r>
    </w:p>
    <w:p>
      <w:pPr>
        <w:spacing w:line="360" w:lineRule="auto"/>
        <w:ind w:firstLine="420" w:firstLineChars="200"/>
        <w:rPr>
          <w:szCs w:val="21"/>
        </w:rPr>
      </w:pPr>
      <w:r>
        <w:rPr>
          <w:rFonts w:hint="eastAsia"/>
          <w:szCs w:val="21"/>
        </w:rPr>
        <w:t>6、单笔金额低于10万元（含10万元）的购置申请</w:t>
      </w:r>
      <w:r>
        <w:rPr>
          <w:rFonts w:hint="eastAsia" w:ascii="宋体" w:hAnsi="宋体"/>
          <w:szCs w:val="21"/>
        </w:rPr>
        <w:t>最终由资财中心总经理审批后即可执行；</w:t>
      </w:r>
      <w:r>
        <w:rPr>
          <w:rFonts w:hint="eastAsia"/>
          <w:szCs w:val="21"/>
        </w:rPr>
        <w:t>单笔金额超过10万元的购置申请，必须经过总经理办公会审议通过并由总经理签字后方可执行。</w:t>
      </w:r>
    </w:p>
    <w:p>
      <w:pPr>
        <w:spacing w:line="360" w:lineRule="auto"/>
        <w:ind w:firstLine="420" w:firstLineChars="200"/>
        <w:rPr>
          <w:rFonts w:asciiTheme="minorEastAsia" w:hAnsiTheme="minorEastAsia"/>
          <w:szCs w:val="21"/>
        </w:rPr>
      </w:pPr>
      <w:r>
        <w:rPr>
          <w:rFonts w:hint="eastAsia" w:asciiTheme="minorEastAsia" w:hAnsiTheme="minorEastAsia"/>
          <w:szCs w:val="21"/>
        </w:rPr>
        <w:t>7、单次采购批量金额大于50万元的固定资产，采购部门应提交“招标采购申请”，对不宜招投标的，应当进行市场调查和多渠道询价，然后确定供货商。</w:t>
      </w:r>
      <w:r>
        <w:rPr>
          <w:rFonts w:hint="eastAsia"/>
        </w:rPr>
        <w:t>列入国家项目计划要求的固定资产必须进行招标采购。</w:t>
      </w:r>
    </w:p>
    <w:p>
      <w:pPr>
        <w:spacing w:line="360" w:lineRule="auto"/>
        <w:ind w:firstLine="420" w:firstLineChars="200"/>
        <w:rPr>
          <w:rFonts w:asciiTheme="minorEastAsia" w:hAnsiTheme="minorEastAsia"/>
          <w:szCs w:val="21"/>
        </w:rPr>
      </w:pPr>
      <w:r>
        <w:rPr>
          <w:rFonts w:hint="eastAsia" w:asciiTheme="minorEastAsia" w:hAnsiTheme="minorEastAsia"/>
          <w:szCs w:val="21"/>
        </w:rPr>
        <w:t>8</w:t>
      </w:r>
      <w:r>
        <w:rPr>
          <w:rFonts w:hint="eastAsia"/>
          <w:szCs w:val="21"/>
        </w:rPr>
        <w:t>、 固定资产经审核为自建或自制的，</w:t>
      </w:r>
      <w:r>
        <w:rPr>
          <w:rFonts w:hint="eastAsia"/>
        </w:rPr>
        <w:t>综合管理部应在</w:t>
      </w:r>
      <w:r>
        <w:t>《固定资产</w:t>
      </w:r>
      <w:r>
        <w:rPr>
          <w:rFonts w:hint="eastAsia"/>
        </w:rPr>
        <w:t>购置</w:t>
      </w:r>
      <w:r>
        <w:t>申请表》</w:t>
      </w:r>
      <w:r>
        <w:rPr>
          <w:rFonts w:hint="eastAsia"/>
        </w:rPr>
        <w:t>上写明自建或自制，并附固定资产决算报告，财务依此进行成本核算。</w:t>
      </w:r>
    </w:p>
    <w:p>
      <w:pPr>
        <w:spacing w:line="360" w:lineRule="auto"/>
        <w:ind w:firstLine="420" w:firstLineChars="200"/>
        <w:rPr>
          <w:rFonts w:asciiTheme="minorEastAsia" w:hAnsiTheme="minorEastAsia"/>
          <w:szCs w:val="21"/>
        </w:rPr>
      </w:pPr>
      <w:r>
        <w:rPr>
          <w:rFonts w:hint="eastAsia" w:asciiTheme="minorEastAsia" w:hAnsiTheme="minorEastAsia"/>
          <w:szCs w:val="21"/>
        </w:rPr>
        <w:t xml:space="preserve">第十八条 </w:t>
      </w:r>
      <w:r>
        <w:rPr>
          <w:rFonts w:asciiTheme="minorEastAsia" w:hAnsiTheme="minorEastAsia"/>
          <w:szCs w:val="21"/>
        </w:rPr>
        <w:t>固定资产验收</w:t>
      </w:r>
      <w:r>
        <w:rPr>
          <w:rFonts w:hint="eastAsia" w:asciiTheme="minorEastAsia" w:hAnsiTheme="minorEastAsia"/>
          <w:szCs w:val="21"/>
        </w:rPr>
        <w:t>、入库</w:t>
      </w:r>
      <w:r>
        <w:rPr>
          <w:rFonts w:asciiTheme="minorEastAsia" w:hAnsiTheme="minorEastAsia"/>
          <w:szCs w:val="21"/>
        </w:rPr>
        <w:t>程序</w:t>
      </w:r>
    </w:p>
    <w:p>
      <w:pPr>
        <w:spacing w:line="360" w:lineRule="auto"/>
        <w:ind w:firstLine="420" w:firstLineChars="200"/>
        <w:rPr>
          <w:rFonts w:asciiTheme="minorEastAsia" w:hAnsiTheme="minorEastAsia"/>
          <w:szCs w:val="21"/>
        </w:rPr>
      </w:pPr>
      <w:r>
        <w:rPr>
          <w:rFonts w:hint="eastAsia" w:asciiTheme="minorEastAsia" w:hAnsiTheme="minorEastAsia"/>
          <w:szCs w:val="21"/>
        </w:rPr>
        <w:t>1、</w:t>
      </w:r>
      <w:r>
        <w:rPr>
          <w:rFonts w:asciiTheme="minorEastAsia" w:hAnsiTheme="minorEastAsia"/>
          <w:szCs w:val="21"/>
        </w:rPr>
        <w:t>采购人员应与厂商联系送货时间及地点。固定资产送达时，请购单位、采购人员、</w:t>
      </w:r>
      <w:r>
        <w:rPr>
          <w:rFonts w:hint="eastAsia" w:asciiTheme="minorEastAsia" w:hAnsiTheme="minorEastAsia"/>
          <w:szCs w:val="21"/>
        </w:rPr>
        <w:t>综合</w:t>
      </w:r>
      <w:r>
        <w:rPr>
          <w:rFonts w:asciiTheme="minorEastAsia" w:hAnsiTheme="minorEastAsia"/>
          <w:szCs w:val="21"/>
        </w:rPr>
        <w:t>管理部均应派员会同点收数量、检查品质及规格是否与</w:t>
      </w:r>
      <w:r>
        <w:rPr>
          <w:rFonts w:hint="eastAsia" w:asciiTheme="minorEastAsia" w:hAnsiTheme="minorEastAsia"/>
          <w:szCs w:val="21"/>
        </w:rPr>
        <w:t>《固定资产购置申请单》</w:t>
      </w:r>
      <w:r>
        <w:rPr>
          <w:rFonts w:asciiTheme="minorEastAsia" w:hAnsiTheme="minorEastAsia"/>
          <w:szCs w:val="21"/>
        </w:rPr>
        <w:t>相符。</w:t>
      </w:r>
      <w:r>
        <w:rPr>
          <w:rFonts w:asciiTheme="minorEastAsia" w:hAnsiTheme="minorEastAsia"/>
          <w:szCs w:val="21"/>
        </w:rPr>
        <w:br w:type="textWrapping"/>
      </w:r>
      <w:r>
        <w:rPr>
          <w:rFonts w:hint="eastAsia" w:asciiTheme="minorEastAsia" w:hAnsiTheme="minorEastAsia"/>
          <w:szCs w:val="21"/>
        </w:rPr>
        <w:t xml:space="preserve">    2、</w:t>
      </w:r>
      <w:r>
        <w:rPr>
          <w:rFonts w:asciiTheme="minorEastAsia" w:hAnsiTheme="minorEastAsia"/>
          <w:szCs w:val="21"/>
        </w:rPr>
        <w:t>固定资产验收合格后，</w:t>
      </w:r>
      <w:r>
        <w:rPr>
          <w:rFonts w:hint="eastAsia" w:asciiTheme="minorEastAsia" w:hAnsiTheme="minorEastAsia"/>
          <w:szCs w:val="21"/>
        </w:rPr>
        <w:t>综合管理部</w:t>
      </w:r>
      <w:r>
        <w:rPr>
          <w:rFonts w:asciiTheme="minorEastAsia" w:hAnsiTheme="minorEastAsia"/>
          <w:szCs w:val="21"/>
        </w:rPr>
        <w:t>开具</w:t>
      </w:r>
      <w:r>
        <w:rPr>
          <w:rFonts w:hint="eastAsia" w:asciiTheme="minorEastAsia" w:hAnsiTheme="minorEastAsia"/>
          <w:szCs w:val="21"/>
        </w:rPr>
        <w:t>《固定资产验收登记单》</w:t>
      </w:r>
      <w:r>
        <w:rPr>
          <w:rFonts w:asciiTheme="minorEastAsia" w:hAnsiTheme="minorEastAsia"/>
          <w:szCs w:val="21"/>
        </w:rPr>
        <w:t xml:space="preserve"> 并登记固定资产管理台账</w:t>
      </w:r>
      <w:r>
        <w:rPr>
          <w:rFonts w:hint="eastAsia" w:asciiTheme="minorEastAsia" w:hAnsiTheme="minorEastAsia"/>
          <w:szCs w:val="21"/>
        </w:rPr>
        <w:t>，</w:t>
      </w:r>
      <w:r>
        <w:rPr>
          <w:rFonts w:asciiTheme="minorEastAsia" w:hAnsiTheme="minorEastAsia"/>
          <w:szCs w:val="21"/>
        </w:rPr>
        <w:t>采购人员将固定资产交请购单位使用。</w:t>
      </w:r>
      <w:r>
        <w:rPr>
          <w:rFonts w:hint="eastAsia" w:asciiTheme="minorEastAsia" w:hAnsiTheme="minorEastAsia"/>
          <w:szCs w:val="21"/>
        </w:rPr>
        <w:t>《固定资产验收登记单》一式三联，综合管理部、财务部、采购部门各持一联。</w:t>
      </w:r>
    </w:p>
    <w:p>
      <w:pPr>
        <w:spacing w:line="360" w:lineRule="auto"/>
        <w:ind w:firstLine="420" w:firstLineChars="200"/>
        <w:rPr>
          <w:rFonts w:asciiTheme="minorEastAsia" w:hAnsiTheme="minorEastAsia"/>
          <w:szCs w:val="21"/>
        </w:rPr>
      </w:pPr>
      <w:r>
        <w:rPr>
          <w:rFonts w:hint="eastAsia" w:asciiTheme="minorEastAsia" w:hAnsiTheme="minorEastAsia"/>
          <w:szCs w:val="21"/>
        </w:rPr>
        <w:t>3、</w:t>
      </w:r>
      <w:r>
        <w:rPr>
          <w:rFonts w:asciiTheme="minorEastAsia" w:hAnsiTheme="minorEastAsia"/>
          <w:szCs w:val="21"/>
        </w:rPr>
        <w:t>采购部将</w:t>
      </w:r>
      <w:r>
        <w:rPr>
          <w:rFonts w:hint="eastAsia" w:asciiTheme="minorEastAsia" w:hAnsiTheme="minorEastAsia"/>
          <w:szCs w:val="21"/>
        </w:rPr>
        <w:t>《固定资产购置申请单》</w:t>
      </w:r>
      <w:r>
        <w:rPr>
          <w:rFonts w:asciiTheme="minorEastAsia" w:hAnsiTheme="minorEastAsia"/>
          <w:szCs w:val="21"/>
        </w:rPr>
        <w:t>﹑</w:t>
      </w:r>
      <w:r>
        <w:rPr>
          <w:rFonts w:hint="eastAsia" w:asciiTheme="minorEastAsia" w:hAnsiTheme="minorEastAsia"/>
          <w:szCs w:val="21"/>
        </w:rPr>
        <w:t>《购置合同》</w:t>
      </w:r>
      <w:r>
        <w:rPr>
          <w:rFonts w:asciiTheme="minorEastAsia" w:hAnsiTheme="minorEastAsia"/>
          <w:szCs w:val="21"/>
        </w:rPr>
        <w:t>﹑</w:t>
      </w:r>
      <w:r>
        <w:rPr>
          <w:rFonts w:hint="eastAsia" w:asciiTheme="minorEastAsia" w:hAnsiTheme="minorEastAsia"/>
          <w:szCs w:val="21"/>
        </w:rPr>
        <w:t>《固定资产验收登记单》</w:t>
      </w:r>
      <w:r>
        <w:rPr>
          <w:rFonts w:asciiTheme="minorEastAsia" w:hAnsiTheme="minorEastAsia"/>
          <w:szCs w:val="21"/>
        </w:rPr>
        <w:t>、发票一同送交财务做付款入账之依据。月末货到票未到，应将除发票外的单据送交财务做暂估入账处理。</w:t>
      </w:r>
    </w:p>
    <w:p>
      <w:pPr>
        <w:spacing w:line="360" w:lineRule="auto"/>
        <w:ind w:firstLine="420" w:firstLineChars="200"/>
        <w:rPr>
          <w:rFonts w:asciiTheme="minorEastAsia" w:hAnsiTheme="minorEastAsia"/>
          <w:szCs w:val="21"/>
        </w:rPr>
      </w:pPr>
      <w:r>
        <w:rPr>
          <w:rFonts w:hint="eastAsia"/>
        </w:rPr>
        <w:t>4、自制或自建固定资产完工后，由综合管理部组织验收，验收合格的</w:t>
      </w:r>
      <w:r>
        <w:rPr>
          <w:rFonts w:hint="eastAsia"/>
          <w:szCs w:val="21"/>
        </w:rPr>
        <w:t>由综合管理部开具《固定资产验收登记单》，验收人员签字确认。</w:t>
      </w:r>
      <w:r>
        <w:rPr>
          <w:rFonts w:hint="eastAsia" w:asciiTheme="minorEastAsia" w:hAnsiTheme="minorEastAsia"/>
          <w:szCs w:val="21"/>
        </w:rPr>
        <w:t>《固定资产验收登记单》</w:t>
      </w:r>
      <w:r>
        <w:rPr>
          <w:rFonts w:hint="eastAsia"/>
          <w:szCs w:val="21"/>
        </w:rPr>
        <w:t>一式三联，</w:t>
      </w:r>
      <w:r>
        <w:rPr>
          <w:szCs w:val="21"/>
        </w:rPr>
        <w:t>一份由</w:t>
      </w:r>
      <w:r>
        <w:rPr>
          <w:rFonts w:hint="eastAsia"/>
          <w:szCs w:val="21"/>
        </w:rPr>
        <w:t>综合管理部</w:t>
      </w:r>
      <w:r>
        <w:rPr>
          <w:szCs w:val="21"/>
        </w:rPr>
        <w:t>留存，一份交财务部进行相应的帐务处理，一份交</w:t>
      </w:r>
      <w:r>
        <w:rPr>
          <w:rFonts w:hint="eastAsia"/>
          <w:szCs w:val="21"/>
        </w:rPr>
        <w:t>使用</w:t>
      </w:r>
      <w:r>
        <w:rPr>
          <w:szCs w:val="21"/>
        </w:rPr>
        <w:t>部门</w:t>
      </w:r>
      <w:r>
        <w:rPr>
          <w:rFonts w:hint="eastAsia"/>
          <w:szCs w:val="21"/>
        </w:rPr>
        <w:t>。</w:t>
      </w:r>
      <w:r>
        <w:rPr>
          <w:rFonts w:asciiTheme="minorEastAsia" w:hAnsiTheme="minorEastAsia"/>
          <w:szCs w:val="21"/>
        </w:rPr>
        <w:br w:type="textWrapping"/>
      </w:r>
      <w:r>
        <w:rPr>
          <w:rFonts w:hint="eastAsia" w:asciiTheme="minorEastAsia" w:hAnsiTheme="minorEastAsia"/>
          <w:szCs w:val="21"/>
        </w:rPr>
        <w:t xml:space="preserve">    5、综合管理部</w:t>
      </w:r>
      <w:r>
        <w:rPr>
          <w:rFonts w:asciiTheme="minorEastAsia" w:hAnsiTheme="minorEastAsia"/>
          <w:szCs w:val="21"/>
        </w:rPr>
        <w:t>按固定资产编</w:t>
      </w:r>
      <w:r>
        <w:rPr>
          <w:rFonts w:hint="eastAsia" w:asciiTheme="minorEastAsia" w:hAnsiTheme="minorEastAsia"/>
          <w:szCs w:val="21"/>
        </w:rPr>
        <w:t>码</w:t>
      </w:r>
      <w:r>
        <w:rPr>
          <w:rFonts w:asciiTheme="minorEastAsia" w:hAnsiTheme="minorEastAsia"/>
          <w:szCs w:val="21"/>
        </w:rPr>
        <w:t>规则编制固定资产编号并</w:t>
      </w:r>
      <w:r>
        <w:rPr>
          <w:rFonts w:hint="eastAsia" w:asciiTheme="minorEastAsia" w:hAnsiTheme="minorEastAsia"/>
          <w:szCs w:val="21"/>
        </w:rPr>
        <w:t>签发固定资产卡片</w:t>
      </w:r>
      <w:r>
        <w:rPr>
          <w:rFonts w:asciiTheme="minorEastAsia" w:hAnsiTheme="minorEastAsia"/>
          <w:szCs w:val="21"/>
        </w:rPr>
        <w:t>，</w:t>
      </w:r>
      <w:r>
        <w:rPr>
          <w:rFonts w:hint="eastAsia" w:asciiTheme="minorEastAsia" w:hAnsiTheme="minorEastAsia"/>
          <w:szCs w:val="21"/>
        </w:rPr>
        <w:t>固定资产卡片一式三份，财务部、综合管理部门和使用部门各一份。各部门根据固定资产卡片登记</w:t>
      </w:r>
      <w:r>
        <w:rPr>
          <w:rFonts w:asciiTheme="minorEastAsia" w:hAnsiTheme="minorEastAsia"/>
          <w:szCs w:val="21"/>
        </w:rPr>
        <w:t>固定资产管理台账。</w:t>
      </w:r>
    </w:p>
    <w:p>
      <w:pPr>
        <w:spacing w:line="360" w:lineRule="auto"/>
        <w:ind w:firstLine="420" w:firstLineChars="200"/>
        <w:rPr>
          <w:b/>
          <w:szCs w:val="21"/>
        </w:rPr>
      </w:pPr>
      <w:r>
        <w:rPr>
          <w:rFonts w:hint="eastAsia" w:asciiTheme="minorEastAsia" w:hAnsiTheme="minorEastAsia"/>
          <w:szCs w:val="21"/>
        </w:rPr>
        <w:t>6、《固定资产验收登记单》同时做为验收、入库单据使用（验收、入库两单合一）。</w:t>
      </w:r>
    </w:p>
    <w:p>
      <w:pPr>
        <w:widowControl/>
        <w:shd w:val="clear" w:color="auto" w:fill="FFFFFF"/>
        <w:spacing w:line="360" w:lineRule="auto"/>
        <w:jc w:val="left"/>
        <w:rPr>
          <w:b/>
          <w:szCs w:val="21"/>
        </w:rPr>
      </w:pPr>
      <w:r>
        <w:rPr>
          <w:rFonts w:hint="eastAsia" w:asciiTheme="minorEastAsia" w:hAnsiTheme="minorEastAsia"/>
          <w:szCs w:val="21"/>
        </w:rPr>
        <w:t>第十九条</w:t>
      </w:r>
      <w:r>
        <w:rPr>
          <w:rFonts w:hint="eastAsia"/>
          <w:b/>
          <w:szCs w:val="21"/>
        </w:rPr>
        <w:t xml:space="preserve">  </w:t>
      </w:r>
      <w:r>
        <w:rPr>
          <w:rFonts w:hint="eastAsia"/>
          <w:szCs w:val="21"/>
        </w:rPr>
        <w:t>固定资产的领用</w:t>
      </w:r>
    </w:p>
    <w:p>
      <w:pPr>
        <w:widowControl/>
        <w:shd w:val="clear" w:color="auto" w:fill="FFFFFF"/>
        <w:spacing w:line="360" w:lineRule="auto"/>
        <w:ind w:firstLine="420" w:firstLineChars="200"/>
        <w:jc w:val="left"/>
        <w:rPr>
          <w:szCs w:val="21"/>
        </w:rPr>
      </w:pPr>
      <w:r>
        <w:rPr>
          <w:rFonts w:hint="eastAsia"/>
          <w:szCs w:val="21"/>
        </w:rPr>
        <w:t>1、使用部门需要领用固定资产的，固定资产使用人员可以直接到综合管理部填写固定资产出库单领用。</w:t>
      </w:r>
    </w:p>
    <w:p>
      <w:pPr>
        <w:widowControl/>
        <w:shd w:val="clear" w:color="auto" w:fill="FFFFFF"/>
        <w:spacing w:line="360" w:lineRule="auto"/>
        <w:ind w:firstLine="420" w:firstLineChars="200"/>
        <w:jc w:val="left"/>
        <w:rPr>
          <w:szCs w:val="21"/>
        </w:rPr>
      </w:pPr>
      <w:r>
        <w:rPr>
          <w:rFonts w:hint="eastAsia"/>
          <w:szCs w:val="21"/>
        </w:rPr>
        <w:t>2、固定资产出库单一式三联，</w:t>
      </w:r>
      <w:r>
        <w:rPr>
          <w:szCs w:val="21"/>
        </w:rPr>
        <w:t>一份由</w:t>
      </w:r>
      <w:r>
        <w:rPr>
          <w:rFonts w:hint="eastAsia"/>
          <w:szCs w:val="21"/>
        </w:rPr>
        <w:t>综合管理部</w:t>
      </w:r>
      <w:r>
        <w:rPr>
          <w:szCs w:val="21"/>
        </w:rPr>
        <w:t>留存，一份交财务部</w:t>
      </w:r>
      <w:r>
        <w:rPr>
          <w:rFonts w:hint="eastAsia"/>
          <w:szCs w:val="21"/>
        </w:rPr>
        <w:t>，</w:t>
      </w:r>
      <w:r>
        <w:rPr>
          <w:szCs w:val="21"/>
        </w:rPr>
        <w:t>一份交</w:t>
      </w:r>
      <w:r>
        <w:rPr>
          <w:rFonts w:hint="eastAsia"/>
          <w:szCs w:val="21"/>
        </w:rPr>
        <w:t>使用</w:t>
      </w:r>
      <w:r>
        <w:rPr>
          <w:szCs w:val="21"/>
        </w:rPr>
        <w:t>部门</w:t>
      </w:r>
      <w:r>
        <w:rPr>
          <w:rFonts w:hint="eastAsia"/>
          <w:szCs w:val="21"/>
        </w:rPr>
        <w:t>。</w:t>
      </w:r>
    </w:p>
    <w:p>
      <w:pPr>
        <w:spacing w:line="360" w:lineRule="auto"/>
        <w:ind w:firstLine="420" w:firstLineChars="200"/>
        <w:rPr>
          <w:rFonts w:asciiTheme="minorEastAsia" w:hAnsiTheme="minorEastAsia"/>
          <w:szCs w:val="21"/>
        </w:rPr>
      </w:pPr>
      <w:r>
        <w:rPr>
          <w:rFonts w:hint="eastAsia"/>
          <w:szCs w:val="21"/>
        </w:rPr>
        <w:t>3、一般情况下，</w:t>
      </w:r>
      <w:r>
        <w:rPr>
          <w:rFonts w:hint="eastAsia" w:asciiTheme="minorEastAsia" w:hAnsiTheme="minorEastAsia"/>
          <w:szCs w:val="21"/>
        </w:rPr>
        <w:t>固定资产的验收、入库、领用应同时进行，</w:t>
      </w:r>
      <w:r>
        <w:rPr>
          <w:rFonts w:hint="eastAsia"/>
          <w:szCs w:val="21"/>
        </w:rPr>
        <w:t>出库单应随着入库单（验收登记单）一起传递到财务部，如入库后未立即领用的，出库单的财务联应由综合管理部传递财务部。</w:t>
      </w:r>
    </w:p>
    <w:p>
      <w:pPr>
        <w:spacing w:line="360" w:lineRule="auto"/>
        <w:ind w:firstLine="420" w:firstLineChars="200"/>
        <w:rPr>
          <w:rFonts w:asciiTheme="minorEastAsia" w:hAnsiTheme="minorEastAsia"/>
          <w:szCs w:val="21"/>
        </w:rPr>
      </w:pPr>
    </w:p>
    <w:p>
      <w:pPr>
        <w:autoSpaceDE w:val="0"/>
        <w:autoSpaceDN w:val="0"/>
        <w:adjustRightInd w:val="0"/>
        <w:spacing w:line="360" w:lineRule="auto"/>
        <w:jc w:val="center"/>
        <w:rPr>
          <w:rFonts w:asciiTheme="minorEastAsia" w:hAnsiTheme="minorEastAsia"/>
          <w:b/>
          <w:sz w:val="32"/>
          <w:szCs w:val="32"/>
        </w:rPr>
      </w:pPr>
      <w:r>
        <w:rPr>
          <w:rFonts w:hint="eastAsia" w:asciiTheme="minorEastAsia" w:hAnsiTheme="minorEastAsia"/>
          <w:b/>
          <w:sz w:val="32"/>
          <w:szCs w:val="32"/>
        </w:rPr>
        <w:t>五、固定资产的</w:t>
      </w:r>
      <w:r>
        <w:fldChar w:fldCharType="begin"/>
      </w:r>
      <w:r>
        <w:instrText xml:space="preserve"> HYPERLINK \l "_Toc244314613" </w:instrText>
      </w:r>
      <w:r>
        <w:fldChar w:fldCharType="separate"/>
      </w:r>
      <w:r>
        <w:rPr>
          <w:rFonts w:hint="eastAsia" w:asciiTheme="minorEastAsia" w:hAnsiTheme="minorEastAsia"/>
          <w:b/>
          <w:bCs/>
          <w:kern w:val="0"/>
          <w:sz w:val="32"/>
          <w:szCs w:val="32"/>
        </w:rPr>
        <w:t>处置与转移</w:t>
      </w:r>
      <w:r>
        <w:rPr>
          <w:rFonts w:hint="eastAsia" w:asciiTheme="minorEastAsia" w:hAnsiTheme="minorEastAsia"/>
          <w:b/>
          <w:bCs/>
          <w:kern w:val="0"/>
          <w:sz w:val="32"/>
          <w:szCs w:val="32"/>
        </w:rPr>
        <w:fldChar w:fldCharType="end"/>
      </w:r>
    </w:p>
    <w:p>
      <w:pPr>
        <w:spacing w:line="360" w:lineRule="auto"/>
        <w:ind w:firstLine="420" w:firstLineChars="200"/>
        <w:outlineLvl w:val="0"/>
        <w:rPr>
          <w:rFonts w:asciiTheme="minorEastAsia" w:hAnsiTheme="minorEastAsia"/>
          <w:szCs w:val="21"/>
        </w:rPr>
      </w:pPr>
      <w:r>
        <w:rPr>
          <w:rFonts w:hint="eastAsia" w:asciiTheme="minorEastAsia" w:hAnsiTheme="minorEastAsia"/>
          <w:szCs w:val="21"/>
        </w:rPr>
        <w:t>第二十条 固定资产的内部转移</w:t>
      </w:r>
    </w:p>
    <w:p>
      <w:pPr>
        <w:spacing w:line="360" w:lineRule="auto"/>
        <w:ind w:firstLine="420" w:firstLineChars="200"/>
        <w:rPr>
          <w:szCs w:val="21"/>
        </w:rPr>
      </w:pPr>
      <w:r>
        <w:rPr>
          <w:rFonts w:hint="eastAsia" w:asciiTheme="minorEastAsia" w:hAnsiTheme="minorEastAsia"/>
          <w:szCs w:val="21"/>
        </w:rPr>
        <w:t>1、固定资产变更使用部门和使用人的，</w:t>
      </w:r>
      <w:r>
        <w:rPr>
          <w:szCs w:val="21"/>
        </w:rPr>
        <w:t>由</w:t>
      </w:r>
      <w:r>
        <w:rPr>
          <w:rFonts w:hint="eastAsia"/>
          <w:szCs w:val="21"/>
        </w:rPr>
        <w:t>综合管理</w:t>
      </w:r>
      <w:r>
        <w:rPr>
          <w:szCs w:val="21"/>
        </w:rPr>
        <w:t>部提出意见，并填写</w:t>
      </w:r>
      <w:r>
        <w:rPr>
          <w:rFonts w:hint="eastAsia"/>
          <w:szCs w:val="21"/>
        </w:rPr>
        <w:t>《</w:t>
      </w:r>
      <w:r>
        <w:rPr>
          <w:szCs w:val="21"/>
        </w:rPr>
        <w:t>固定资产内部转移单</w:t>
      </w:r>
      <w:r>
        <w:rPr>
          <w:rFonts w:hint="eastAsia"/>
          <w:szCs w:val="21"/>
        </w:rPr>
        <w:t>》</w:t>
      </w:r>
      <w:r>
        <w:rPr>
          <w:szCs w:val="21"/>
        </w:rPr>
        <w:t>，经</w:t>
      </w:r>
      <w:r>
        <w:rPr>
          <w:rFonts w:hint="eastAsia"/>
          <w:szCs w:val="21"/>
        </w:rPr>
        <w:t>转出部门</w:t>
      </w:r>
      <w:r>
        <w:rPr>
          <w:szCs w:val="21"/>
        </w:rPr>
        <w:t>、</w:t>
      </w:r>
      <w:r>
        <w:rPr>
          <w:rFonts w:hint="eastAsia"/>
          <w:szCs w:val="21"/>
        </w:rPr>
        <w:t>转入</w:t>
      </w:r>
      <w:r>
        <w:rPr>
          <w:szCs w:val="21"/>
        </w:rPr>
        <w:t>部门、</w:t>
      </w:r>
      <w:r>
        <w:rPr>
          <w:rFonts w:hint="eastAsia"/>
          <w:szCs w:val="21"/>
        </w:rPr>
        <w:t>综合管理</w:t>
      </w:r>
      <w:r>
        <w:rPr>
          <w:szCs w:val="21"/>
        </w:rPr>
        <w:t>部等部门会签，</w:t>
      </w:r>
      <w:r>
        <w:rPr>
          <w:rFonts w:hint="eastAsia"/>
          <w:szCs w:val="21"/>
        </w:rPr>
        <w:t>资财</w:t>
      </w:r>
      <w:r>
        <w:rPr>
          <w:rFonts w:hint="eastAsia" w:asciiTheme="minorEastAsia" w:hAnsiTheme="minorEastAsia"/>
          <w:szCs w:val="21"/>
        </w:rPr>
        <w:t>中心总经理签字后，</w:t>
      </w:r>
      <w:r>
        <w:rPr>
          <w:szCs w:val="21"/>
        </w:rPr>
        <w:t>交财务部作内部转移账务处理。</w:t>
      </w:r>
    </w:p>
    <w:p>
      <w:pPr>
        <w:spacing w:line="360" w:lineRule="auto"/>
        <w:ind w:firstLine="420" w:firstLineChars="200"/>
      </w:pPr>
      <w:r>
        <w:rPr>
          <w:rFonts w:hint="eastAsia"/>
        </w:rPr>
        <w:t>2、</w:t>
      </w:r>
      <w:r>
        <w:rPr>
          <w:rFonts w:hint="eastAsia"/>
          <w:szCs w:val="21"/>
        </w:rPr>
        <w:t>《</w:t>
      </w:r>
      <w:r>
        <w:rPr>
          <w:szCs w:val="21"/>
        </w:rPr>
        <w:t>固定资产内部转移单</w:t>
      </w:r>
      <w:r>
        <w:rPr>
          <w:rFonts w:hint="eastAsia"/>
          <w:szCs w:val="21"/>
        </w:rPr>
        <w:t>》</w:t>
      </w:r>
      <w:r>
        <w:rPr>
          <w:rFonts w:hint="eastAsia"/>
        </w:rPr>
        <w:t>一式四联，第一联由综合管理部留存，更新固定资产台账，第二联送交财务部门，第三联送交</w:t>
      </w:r>
      <w:r>
        <w:rPr>
          <w:rFonts w:hint="eastAsia"/>
          <w:szCs w:val="21"/>
        </w:rPr>
        <w:t>转入</w:t>
      </w:r>
      <w:r>
        <w:rPr>
          <w:szCs w:val="21"/>
        </w:rPr>
        <w:t>部门</w:t>
      </w:r>
      <w:r>
        <w:rPr>
          <w:rFonts w:hint="eastAsia"/>
        </w:rPr>
        <w:t>，第四联送交</w:t>
      </w:r>
      <w:r>
        <w:rPr>
          <w:rFonts w:hint="eastAsia"/>
          <w:szCs w:val="21"/>
        </w:rPr>
        <w:t>转出部门</w:t>
      </w:r>
      <w:r>
        <w:rPr>
          <w:rFonts w:hint="eastAsia"/>
        </w:rPr>
        <w:t>。</w:t>
      </w:r>
    </w:p>
    <w:p>
      <w:pPr>
        <w:spacing w:line="360" w:lineRule="auto"/>
        <w:ind w:firstLine="420" w:firstLineChars="200"/>
        <w:rPr>
          <w:rFonts w:asciiTheme="minorEastAsia" w:hAnsiTheme="minorEastAsia"/>
          <w:szCs w:val="21"/>
        </w:rPr>
      </w:pPr>
      <w:r>
        <w:rPr>
          <w:rFonts w:hint="eastAsia"/>
        </w:rPr>
        <w:t>3、 固定资产转移时，注意固定资产编号保持不变，台账要填写清楚新的使用部门和新的使用人，以便监督管理。</w:t>
      </w:r>
    </w:p>
    <w:p>
      <w:pPr>
        <w:spacing w:line="360" w:lineRule="auto"/>
        <w:ind w:firstLine="420" w:firstLineChars="200"/>
        <w:rPr>
          <w:rFonts w:asciiTheme="minorEastAsia" w:hAnsiTheme="minorEastAsia"/>
          <w:szCs w:val="21"/>
        </w:rPr>
      </w:pPr>
      <w:r>
        <w:rPr>
          <w:rFonts w:hint="eastAsia" w:asciiTheme="minorEastAsia" w:hAnsiTheme="minorEastAsia"/>
          <w:szCs w:val="21"/>
        </w:rPr>
        <w:t>第二十一条 固定资产的处置</w:t>
      </w:r>
    </w:p>
    <w:p>
      <w:pPr>
        <w:pStyle w:val="31"/>
        <w:spacing w:line="360" w:lineRule="auto"/>
        <w:rPr>
          <w:rFonts w:asciiTheme="minorEastAsia" w:hAnsiTheme="minorEastAsia"/>
          <w:szCs w:val="21"/>
        </w:rPr>
      </w:pPr>
      <w:r>
        <w:rPr>
          <w:rFonts w:hint="eastAsia" w:asciiTheme="minorEastAsia" w:hAnsiTheme="minorEastAsia"/>
          <w:szCs w:val="21"/>
        </w:rPr>
        <w:t>1、固定资产的处置包括盘盈、盘亏、报废、出售、出租、出借等事项；</w:t>
      </w:r>
    </w:p>
    <w:p>
      <w:pPr>
        <w:pStyle w:val="31"/>
        <w:spacing w:line="360" w:lineRule="auto"/>
        <w:rPr>
          <w:rFonts w:asciiTheme="minorEastAsia" w:hAnsiTheme="minorEastAsia"/>
          <w:szCs w:val="21"/>
        </w:rPr>
      </w:pPr>
      <w:r>
        <w:rPr>
          <w:rFonts w:hint="eastAsia" w:asciiTheme="minorEastAsia" w:hAnsiTheme="minorEastAsia"/>
          <w:szCs w:val="21"/>
        </w:rPr>
        <w:t>2、固定资产的处置应由使用部门提出并填写《固定资产处置申请单》，综合管理部组织相关部门鉴定后拟定处理意见，报总经理批准后实行。严禁私自自制、移装、改装公司的固定资产，不得拆卸、挪用零件和自行处理。</w:t>
      </w:r>
    </w:p>
    <w:p>
      <w:pPr>
        <w:pStyle w:val="31"/>
        <w:spacing w:line="360" w:lineRule="auto"/>
        <w:rPr>
          <w:szCs w:val="21"/>
        </w:rPr>
      </w:pPr>
      <w:r>
        <w:rPr>
          <w:rFonts w:hint="eastAsia" w:asciiTheme="minorEastAsia" w:hAnsiTheme="minorEastAsia"/>
          <w:szCs w:val="21"/>
        </w:rPr>
        <w:t>3、固定资产处置后，综合管理部应将批准的《固定资产处置申请表》复印件及相关资料交至财务部，财务部对固定资产进行相应的账务处理。</w:t>
      </w:r>
    </w:p>
    <w:p>
      <w:pPr>
        <w:spacing w:line="360" w:lineRule="auto"/>
        <w:ind w:firstLine="420" w:firstLineChars="200"/>
        <w:rPr>
          <w:rFonts w:asciiTheme="minorEastAsia" w:hAnsiTheme="minorEastAsia"/>
          <w:szCs w:val="21"/>
        </w:rPr>
      </w:pPr>
      <w:r>
        <w:rPr>
          <w:rFonts w:hint="eastAsia" w:asciiTheme="minorEastAsia" w:hAnsiTheme="minorEastAsia"/>
          <w:szCs w:val="21"/>
        </w:rPr>
        <w:t>4、《固定资产处置申请表》</w:t>
      </w:r>
      <w:r>
        <w:rPr>
          <w:rFonts w:hint="eastAsia"/>
        </w:rPr>
        <w:t>一式四联，第一联由综合管理部留存，更新固定资产台账，第二联送交财务部门，第三联送使用</w:t>
      </w:r>
      <w:r>
        <w:rPr>
          <w:szCs w:val="21"/>
        </w:rPr>
        <w:t>部门</w:t>
      </w:r>
      <w:r>
        <w:rPr>
          <w:rFonts w:hint="eastAsia"/>
        </w:rPr>
        <w:t>。</w:t>
      </w:r>
    </w:p>
    <w:p>
      <w:pPr>
        <w:spacing w:line="360" w:lineRule="auto"/>
        <w:ind w:firstLine="420" w:firstLineChars="200"/>
        <w:rPr>
          <w:rFonts w:asciiTheme="minorEastAsia" w:hAnsiTheme="minorEastAsia"/>
          <w:szCs w:val="21"/>
        </w:rPr>
      </w:pPr>
      <w:r>
        <w:rPr>
          <w:rFonts w:hint="eastAsia" w:asciiTheme="minorEastAsia" w:hAnsiTheme="minorEastAsia"/>
          <w:szCs w:val="21"/>
        </w:rPr>
        <w:t>第二十二条 符合下列条件的固定资产方可申请报废：</w:t>
      </w:r>
    </w:p>
    <w:p>
      <w:pPr>
        <w:spacing w:line="360" w:lineRule="auto"/>
        <w:ind w:firstLine="420" w:firstLineChars="200"/>
        <w:rPr>
          <w:rFonts w:asciiTheme="minorEastAsia" w:hAnsiTheme="minorEastAsia"/>
          <w:szCs w:val="21"/>
        </w:rPr>
      </w:pPr>
      <w:r>
        <w:rPr>
          <w:rFonts w:hint="eastAsia" w:asciiTheme="minorEastAsia" w:hAnsiTheme="minorEastAsia"/>
          <w:szCs w:val="21"/>
        </w:rPr>
        <w:t>1、超过使用年限，主要结构陈旧，精度低劣，生产效率低且不能改装利用或调出者；</w:t>
      </w:r>
    </w:p>
    <w:p>
      <w:pPr>
        <w:spacing w:line="360" w:lineRule="auto"/>
        <w:ind w:firstLine="420" w:firstLineChars="200"/>
        <w:rPr>
          <w:rFonts w:asciiTheme="minorEastAsia" w:hAnsiTheme="minorEastAsia"/>
          <w:szCs w:val="21"/>
        </w:rPr>
      </w:pPr>
      <w:r>
        <w:rPr>
          <w:rFonts w:hint="eastAsia" w:asciiTheme="minorEastAsia" w:hAnsiTheme="minorEastAsia"/>
          <w:szCs w:val="21"/>
        </w:rPr>
        <w:t>2、使用年限未到但不能迁移的设备，因建筑物改造或工艺布局改变而必须拆除者；</w:t>
      </w:r>
    </w:p>
    <w:p>
      <w:pPr>
        <w:spacing w:line="360" w:lineRule="auto"/>
        <w:ind w:firstLine="420" w:firstLineChars="200"/>
        <w:rPr>
          <w:rFonts w:asciiTheme="minorEastAsia" w:hAnsiTheme="minorEastAsia"/>
          <w:szCs w:val="21"/>
        </w:rPr>
      </w:pPr>
      <w:r>
        <w:rPr>
          <w:rFonts w:hint="eastAsia" w:asciiTheme="minorEastAsia" w:hAnsiTheme="minorEastAsia"/>
          <w:szCs w:val="21"/>
        </w:rPr>
        <w:t>3、腐蚀过甚，无修复价值或继续作用易发生危险者；</w:t>
      </w:r>
    </w:p>
    <w:p>
      <w:pPr>
        <w:spacing w:line="360" w:lineRule="auto"/>
        <w:ind w:firstLine="420" w:firstLineChars="200"/>
        <w:rPr>
          <w:rFonts w:asciiTheme="minorEastAsia" w:hAnsiTheme="minorEastAsia"/>
          <w:szCs w:val="21"/>
        </w:rPr>
      </w:pPr>
      <w:r>
        <w:rPr>
          <w:rFonts w:hint="eastAsia" w:asciiTheme="minorEastAsia" w:hAnsiTheme="minorEastAsia"/>
          <w:szCs w:val="21"/>
        </w:rPr>
        <w:t>4、性能低劣且无修复价值者；</w:t>
      </w:r>
    </w:p>
    <w:p>
      <w:pPr>
        <w:spacing w:line="360" w:lineRule="auto"/>
        <w:ind w:firstLine="420" w:firstLineChars="200"/>
        <w:rPr>
          <w:rFonts w:asciiTheme="minorEastAsia" w:hAnsiTheme="minorEastAsia"/>
          <w:szCs w:val="21"/>
        </w:rPr>
      </w:pPr>
      <w:r>
        <w:rPr>
          <w:rFonts w:hint="eastAsia" w:asciiTheme="minorEastAsia" w:hAnsiTheme="minorEastAsia"/>
          <w:szCs w:val="21"/>
        </w:rPr>
        <w:t>5、因事故或其他灾害，使设备遭受严重损坏且无修复价值；</w:t>
      </w:r>
    </w:p>
    <w:p>
      <w:pPr>
        <w:spacing w:line="360" w:lineRule="auto"/>
        <w:ind w:firstLine="420" w:firstLineChars="200"/>
        <w:rPr>
          <w:rFonts w:asciiTheme="minorEastAsia" w:hAnsiTheme="minorEastAsia"/>
          <w:szCs w:val="21"/>
        </w:rPr>
      </w:pPr>
      <w:r>
        <w:rPr>
          <w:rFonts w:hint="eastAsia" w:asciiTheme="minorEastAsia" w:hAnsiTheme="minorEastAsia"/>
          <w:szCs w:val="21"/>
        </w:rPr>
        <w:t>6、能耗大或严重污染环境，危害人身安全与健康，进行改造又不经济者；</w:t>
      </w:r>
    </w:p>
    <w:p>
      <w:pPr>
        <w:spacing w:line="360" w:lineRule="auto"/>
        <w:ind w:firstLine="420" w:firstLineChars="200"/>
        <w:rPr>
          <w:rFonts w:asciiTheme="minorEastAsia" w:hAnsiTheme="minorEastAsia"/>
          <w:szCs w:val="21"/>
        </w:rPr>
      </w:pPr>
      <w:r>
        <w:rPr>
          <w:rFonts w:hint="eastAsia" w:asciiTheme="minorEastAsia" w:hAnsiTheme="minorEastAsia"/>
          <w:szCs w:val="21"/>
        </w:rPr>
        <w:t>7、国家规定淘汰的设备。</w:t>
      </w:r>
    </w:p>
    <w:p>
      <w:pPr>
        <w:tabs>
          <w:tab w:val="left" w:pos="426"/>
        </w:tabs>
        <w:spacing w:line="360" w:lineRule="auto"/>
        <w:ind w:firstLine="420" w:firstLineChars="200"/>
        <w:rPr>
          <w:rFonts w:asciiTheme="minorEastAsia" w:hAnsiTheme="minorEastAsia"/>
          <w:szCs w:val="21"/>
        </w:rPr>
      </w:pPr>
      <w:r>
        <w:rPr>
          <w:rFonts w:hint="eastAsia"/>
          <w:szCs w:val="21"/>
        </w:rPr>
        <w:t>第二十三条 由于人为原因损坏或丢失等，由综合管理部会同相关责任部门及时查明原因，分清责任，提出书面处理意见，相关人员签字后报总经理审批，综合部根据审批意见，监督办理赔偿事宜。</w:t>
      </w:r>
    </w:p>
    <w:p>
      <w:pPr>
        <w:spacing w:line="360" w:lineRule="auto"/>
        <w:jc w:val="center"/>
        <w:rPr>
          <w:b/>
          <w:sz w:val="32"/>
          <w:szCs w:val="32"/>
        </w:rPr>
      </w:pPr>
      <w:r>
        <w:rPr>
          <w:rFonts w:hint="eastAsia"/>
          <w:b/>
          <w:sz w:val="32"/>
          <w:szCs w:val="32"/>
        </w:rPr>
        <w:t>六、固定资产的归口管理</w:t>
      </w:r>
    </w:p>
    <w:p>
      <w:pPr>
        <w:widowControl/>
        <w:shd w:val="clear" w:color="auto" w:fill="FFFFFF"/>
        <w:spacing w:line="360" w:lineRule="auto"/>
        <w:ind w:firstLine="420" w:firstLineChars="200"/>
        <w:jc w:val="left"/>
        <w:rPr>
          <w:rFonts w:asciiTheme="minorEastAsia" w:hAnsiTheme="minorEastAsia"/>
          <w:szCs w:val="21"/>
        </w:rPr>
      </w:pPr>
      <w:r>
        <w:rPr>
          <w:rFonts w:hint="eastAsia" w:asciiTheme="minorEastAsia" w:hAnsiTheme="minorEastAsia"/>
          <w:szCs w:val="21"/>
        </w:rPr>
        <w:t>第二十四条 本公司及下属全资和控股公司的固定资产实行二级管理原则。公司本部为一级固定资产管理部门单位，内部实行归口管理；全资或控股公司为固定资产二级管理单位，负责其固定资产的实物管理和价值核算，各公司的固定资产均应有专门部门及专人负责。</w:t>
      </w:r>
    </w:p>
    <w:p>
      <w:pPr>
        <w:widowControl/>
        <w:shd w:val="clear" w:color="auto" w:fill="FFFFFF"/>
        <w:spacing w:line="360" w:lineRule="auto"/>
        <w:ind w:firstLine="420" w:firstLineChars="200"/>
        <w:jc w:val="left"/>
        <w:rPr>
          <w:rFonts w:asciiTheme="minorEastAsia" w:hAnsiTheme="minorEastAsia"/>
          <w:szCs w:val="21"/>
        </w:rPr>
      </w:pPr>
      <w:r>
        <w:rPr>
          <w:rFonts w:hint="eastAsia" w:asciiTheme="minorEastAsia" w:hAnsiTheme="minorEastAsia"/>
          <w:szCs w:val="21"/>
        </w:rPr>
        <w:t>第二十五条 综合管理部负责公司所有固定资产的实物管理，具体职责如下：</w:t>
      </w:r>
    </w:p>
    <w:p>
      <w:pPr>
        <w:spacing w:line="360" w:lineRule="auto"/>
        <w:ind w:firstLine="420" w:firstLineChars="200"/>
        <w:rPr>
          <w:rFonts w:asciiTheme="minorEastAsia" w:hAnsiTheme="minorEastAsia"/>
          <w:szCs w:val="21"/>
        </w:rPr>
      </w:pPr>
      <w:r>
        <w:rPr>
          <w:rFonts w:hint="eastAsia" w:asciiTheme="minorEastAsia" w:hAnsiTheme="minorEastAsia"/>
          <w:szCs w:val="21"/>
        </w:rPr>
        <w:t>1、组织制定修订固定资产管理制度。</w:t>
      </w:r>
    </w:p>
    <w:p>
      <w:pPr>
        <w:spacing w:line="360" w:lineRule="auto"/>
        <w:ind w:firstLine="420" w:firstLineChars="200"/>
        <w:rPr>
          <w:rFonts w:asciiTheme="minorEastAsia" w:hAnsiTheme="minorEastAsia"/>
          <w:szCs w:val="21"/>
        </w:rPr>
      </w:pPr>
      <w:r>
        <w:rPr>
          <w:rFonts w:hint="eastAsia" w:asciiTheme="minorEastAsia" w:hAnsiTheme="minorEastAsia"/>
          <w:szCs w:val="21"/>
        </w:rPr>
        <w:t>2、汇总各部门固定资产投资预算，编制公司固定资产投资预算；</w:t>
      </w:r>
    </w:p>
    <w:p>
      <w:pPr>
        <w:spacing w:line="360" w:lineRule="auto"/>
        <w:ind w:firstLine="420" w:firstLineChars="200"/>
        <w:rPr>
          <w:rFonts w:asciiTheme="minorEastAsia" w:hAnsiTheme="minorEastAsia"/>
          <w:szCs w:val="21"/>
        </w:rPr>
      </w:pPr>
      <w:r>
        <w:rPr>
          <w:rFonts w:hint="eastAsia" w:asciiTheme="minorEastAsia" w:hAnsiTheme="minorEastAsia"/>
          <w:szCs w:val="21"/>
        </w:rPr>
        <w:t>3、负责编写固定资产编码，建立固定资产登记卡片和台账，并及时维护固定资产台账；</w:t>
      </w:r>
    </w:p>
    <w:p>
      <w:pPr>
        <w:spacing w:line="360" w:lineRule="auto"/>
        <w:ind w:firstLine="420" w:firstLineChars="200"/>
        <w:rPr>
          <w:rFonts w:asciiTheme="minorEastAsia" w:hAnsiTheme="minorEastAsia"/>
          <w:szCs w:val="21"/>
        </w:rPr>
      </w:pPr>
      <w:r>
        <w:rPr>
          <w:rFonts w:hint="eastAsia" w:asciiTheme="minorEastAsia" w:hAnsiTheme="minorEastAsia"/>
          <w:szCs w:val="21"/>
        </w:rPr>
        <w:t>4、办理固定资产验收、调拨、处置等事项的各类手续；</w:t>
      </w:r>
    </w:p>
    <w:p>
      <w:pPr>
        <w:spacing w:line="360" w:lineRule="auto"/>
        <w:ind w:firstLine="420" w:firstLineChars="200"/>
        <w:rPr>
          <w:rFonts w:asciiTheme="minorEastAsia" w:hAnsiTheme="minorEastAsia"/>
          <w:szCs w:val="21"/>
        </w:rPr>
      </w:pPr>
      <w:r>
        <w:rPr>
          <w:rFonts w:hint="eastAsia" w:asciiTheme="minorEastAsia" w:hAnsiTheme="minorEastAsia"/>
          <w:szCs w:val="21"/>
        </w:rPr>
        <w:t>5、及时掌握固定资产使用状况，根据使用情况，负责固定资产的维修工作；</w:t>
      </w:r>
    </w:p>
    <w:p>
      <w:pPr>
        <w:spacing w:line="360" w:lineRule="auto"/>
        <w:ind w:firstLine="420" w:firstLineChars="200"/>
        <w:rPr>
          <w:rFonts w:asciiTheme="minorEastAsia" w:hAnsiTheme="minorEastAsia"/>
          <w:szCs w:val="21"/>
        </w:rPr>
      </w:pPr>
      <w:r>
        <w:rPr>
          <w:rFonts w:hint="eastAsia" w:asciiTheme="minorEastAsia" w:hAnsiTheme="minorEastAsia"/>
          <w:szCs w:val="21"/>
        </w:rPr>
        <w:t>6、定期组织固定资产盘点，编制盘盈盘亏报告。</w:t>
      </w:r>
    </w:p>
    <w:p>
      <w:pPr>
        <w:widowControl/>
        <w:shd w:val="clear" w:color="auto" w:fill="FFFFFF"/>
        <w:spacing w:line="360" w:lineRule="auto"/>
        <w:ind w:firstLine="420" w:firstLineChars="200"/>
        <w:jc w:val="left"/>
        <w:rPr>
          <w:rFonts w:asciiTheme="minorEastAsia" w:hAnsiTheme="minorEastAsia"/>
          <w:szCs w:val="21"/>
        </w:rPr>
      </w:pPr>
      <w:r>
        <w:rPr>
          <w:rFonts w:hint="eastAsia" w:asciiTheme="minorEastAsia" w:hAnsiTheme="minorEastAsia"/>
          <w:szCs w:val="21"/>
        </w:rPr>
        <w:t>第二十六条 财务部负责公司固定资产的核算工作，具体职责如下：</w:t>
      </w:r>
    </w:p>
    <w:p>
      <w:pPr>
        <w:widowControl/>
        <w:shd w:val="clear" w:color="auto" w:fill="FFFFFF"/>
        <w:spacing w:line="360" w:lineRule="auto"/>
        <w:ind w:firstLine="420" w:firstLineChars="200"/>
        <w:jc w:val="left"/>
        <w:rPr>
          <w:rFonts w:asciiTheme="minorEastAsia" w:hAnsiTheme="minorEastAsia"/>
          <w:szCs w:val="21"/>
        </w:rPr>
      </w:pPr>
      <w:r>
        <w:rPr>
          <w:rFonts w:hint="eastAsia" w:asciiTheme="minorEastAsia" w:hAnsiTheme="minorEastAsia"/>
          <w:szCs w:val="21"/>
        </w:rPr>
        <w:t>1、会同综合管理部制定、修订固定资产管理制度；</w:t>
      </w:r>
    </w:p>
    <w:p>
      <w:pPr>
        <w:widowControl/>
        <w:shd w:val="clear" w:color="auto" w:fill="FFFFFF"/>
        <w:spacing w:line="360" w:lineRule="auto"/>
        <w:ind w:firstLine="420" w:firstLineChars="200"/>
        <w:jc w:val="left"/>
        <w:rPr>
          <w:rFonts w:asciiTheme="minorEastAsia" w:hAnsiTheme="minorEastAsia"/>
          <w:szCs w:val="21"/>
        </w:rPr>
      </w:pPr>
      <w:r>
        <w:rPr>
          <w:rFonts w:hint="eastAsia" w:asciiTheme="minorEastAsia" w:hAnsiTheme="minorEastAsia"/>
          <w:szCs w:val="21"/>
        </w:rPr>
        <w:t>2、审核固定资产购置申请、合同、发票等凭证，办理固定资产的付款；</w:t>
      </w:r>
    </w:p>
    <w:p>
      <w:pPr>
        <w:widowControl/>
        <w:shd w:val="clear" w:color="auto" w:fill="FFFFFF"/>
        <w:spacing w:line="360" w:lineRule="auto"/>
        <w:ind w:firstLine="420" w:firstLineChars="200"/>
        <w:jc w:val="left"/>
        <w:rPr>
          <w:rFonts w:asciiTheme="minorEastAsia" w:hAnsiTheme="minorEastAsia"/>
          <w:szCs w:val="21"/>
        </w:rPr>
      </w:pPr>
      <w:r>
        <w:rPr>
          <w:rFonts w:hint="eastAsia" w:asciiTheme="minorEastAsia" w:hAnsiTheme="minorEastAsia"/>
          <w:szCs w:val="21"/>
        </w:rPr>
        <w:t>3、负责固定资产的核算工作，包括购置、处置、盘盈、盘亏等业务账务处理；</w:t>
      </w:r>
    </w:p>
    <w:p>
      <w:pPr>
        <w:widowControl/>
        <w:shd w:val="clear" w:color="auto" w:fill="FFFFFF"/>
        <w:spacing w:line="360" w:lineRule="auto"/>
        <w:ind w:firstLine="420" w:firstLineChars="200"/>
        <w:jc w:val="left"/>
        <w:rPr>
          <w:rFonts w:asciiTheme="minorEastAsia" w:hAnsiTheme="minorEastAsia"/>
          <w:szCs w:val="21"/>
        </w:rPr>
      </w:pPr>
      <w:r>
        <w:rPr>
          <w:rFonts w:hint="eastAsia" w:asciiTheme="minorEastAsia" w:hAnsiTheme="minorEastAsia"/>
          <w:szCs w:val="21"/>
        </w:rPr>
        <w:t>4、按规定设立登记固定资产总分类账和明细账；</w:t>
      </w:r>
    </w:p>
    <w:p>
      <w:pPr>
        <w:widowControl/>
        <w:shd w:val="clear" w:color="auto" w:fill="FFFFFF"/>
        <w:spacing w:line="360" w:lineRule="auto"/>
        <w:ind w:firstLine="420" w:firstLineChars="200"/>
        <w:jc w:val="left"/>
        <w:rPr>
          <w:rFonts w:asciiTheme="minorEastAsia" w:hAnsiTheme="minorEastAsia"/>
          <w:szCs w:val="21"/>
        </w:rPr>
      </w:pPr>
      <w:r>
        <w:rPr>
          <w:rFonts w:hint="eastAsia" w:asciiTheme="minorEastAsia" w:hAnsiTheme="minorEastAsia"/>
          <w:szCs w:val="21"/>
        </w:rPr>
        <w:t xml:space="preserve">5、按财务制度准确、及时地提取固定资产折旧； </w:t>
      </w:r>
    </w:p>
    <w:p>
      <w:pPr>
        <w:widowControl/>
        <w:shd w:val="clear" w:color="auto" w:fill="FFFFFF"/>
        <w:spacing w:line="360" w:lineRule="auto"/>
        <w:ind w:firstLine="420" w:firstLineChars="200"/>
        <w:jc w:val="left"/>
        <w:rPr>
          <w:rFonts w:asciiTheme="minorEastAsia" w:hAnsiTheme="minorEastAsia"/>
          <w:szCs w:val="21"/>
        </w:rPr>
      </w:pPr>
      <w:r>
        <w:rPr>
          <w:rFonts w:hint="eastAsia" w:asciiTheme="minorEastAsia" w:hAnsiTheme="minorEastAsia"/>
          <w:szCs w:val="21"/>
        </w:rPr>
        <w:t>6、按期会同综合管理部对固定资产进行盘点，做到帐实相符，保持帐、物、卡一致。</w:t>
      </w:r>
    </w:p>
    <w:p>
      <w:pPr>
        <w:widowControl/>
        <w:shd w:val="clear" w:color="auto" w:fill="FFFFFF"/>
        <w:spacing w:line="360" w:lineRule="auto"/>
        <w:ind w:firstLine="420" w:firstLineChars="200"/>
        <w:jc w:val="left"/>
        <w:rPr>
          <w:rFonts w:asciiTheme="minorEastAsia" w:hAnsiTheme="minorEastAsia"/>
          <w:szCs w:val="21"/>
        </w:rPr>
      </w:pPr>
      <w:r>
        <w:rPr>
          <w:rFonts w:hint="eastAsia" w:asciiTheme="minorEastAsia" w:hAnsiTheme="minorEastAsia"/>
          <w:szCs w:val="21"/>
        </w:rPr>
        <w:t>第二十七条 使用部门负责本部门所使用固定资产的日常管理和维护工作。具体职责如下：</w:t>
      </w:r>
    </w:p>
    <w:p>
      <w:pPr>
        <w:spacing w:line="360" w:lineRule="auto"/>
        <w:ind w:firstLine="420" w:firstLineChars="200"/>
        <w:rPr>
          <w:rFonts w:asciiTheme="minorEastAsia" w:hAnsiTheme="minorEastAsia"/>
          <w:szCs w:val="21"/>
        </w:rPr>
      </w:pPr>
      <w:r>
        <w:rPr>
          <w:rFonts w:hint="eastAsia" w:asciiTheme="minorEastAsia" w:hAnsiTheme="minorEastAsia"/>
          <w:szCs w:val="21"/>
        </w:rPr>
        <w:t>1、编制本部门固定资产投资预算；</w:t>
      </w:r>
    </w:p>
    <w:p>
      <w:pPr>
        <w:spacing w:line="360" w:lineRule="auto"/>
        <w:ind w:firstLine="420" w:firstLineChars="200"/>
        <w:rPr>
          <w:rFonts w:asciiTheme="minorEastAsia" w:hAnsiTheme="minorEastAsia"/>
          <w:szCs w:val="21"/>
        </w:rPr>
      </w:pPr>
      <w:r>
        <w:rPr>
          <w:rFonts w:hint="eastAsia" w:asciiTheme="minorEastAsia" w:hAnsiTheme="minorEastAsia"/>
          <w:szCs w:val="21"/>
        </w:rPr>
        <w:t>2、提出本部门固定资产购置、维修、转移和处置等申请；</w:t>
      </w:r>
    </w:p>
    <w:p>
      <w:pPr>
        <w:spacing w:line="360" w:lineRule="auto"/>
        <w:ind w:firstLine="420" w:firstLineChars="200"/>
        <w:rPr>
          <w:szCs w:val="21"/>
        </w:rPr>
      </w:pPr>
      <w:r>
        <w:rPr>
          <w:rFonts w:hint="eastAsia" w:asciiTheme="minorEastAsia" w:hAnsiTheme="minorEastAsia"/>
          <w:szCs w:val="21"/>
        </w:rPr>
        <w:t>3、</w:t>
      </w:r>
      <w:r>
        <w:rPr>
          <w:rFonts w:hint="eastAsia"/>
          <w:szCs w:val="21"/>
        </w:rPr>
        <w:t>参与本部门固定资产验收、处置、调拨等事项；</w:t>
      </w:r>
    </w:p>
    <w:p>
      <w:pPr>
        <w:spacing w:line="360" w:lineRule="auto"/>
        <w:ind w:firstLine="420" w:firstLineChars="200"/>
        <w:rPr>
          <w:rFonts w:asciiTheme="minorEastAsia" w:hAnsiTheme="minorEastAsia"/>
          <w:szCs w:val="21"/>
        </w:rPr>
      </w:pPr>
      <w:r>
        <w:rPr>
          <w:rFonts w:hint="eastAsia" w:asciiTheme="minorEastAsia" w:hAnsiTheme="minorEastAsia"/>
          <w:szCs w:val="21"/>
        </w:rPr>
        <w:t>4、建立和维护本部门的固定资产使用台账；</w:t>
      </w:r>
    </w:p>
    <w:p>
      <w:pPr>
        <w:spacing w:line="360" w:lineRule="auto"/>
        <w:ind w:firstLine="420" w:firstLineChars="200"/>
        <w:rPr>
          <w:rFonts w:asciiTheme="minorEastAsia" w:hAnsiTheme="minorEastAsia"/>
          <w:szCs w:val="21"/>
        </w:rPr>
      </w:pPr>
      <w:r>
        <w:rPr>
          <w:rFonts w:hint="eastAsia" w:asciiTheme="minorEastAsia" w:hAnsiTheme="minorEastAsia"/>
          <w:szCs w:val="21"/>
        </w:rPr>
        <w:t>5、负责本部门固定资产的日常维护、保管，定期记录使用、保养、修理等情况。</w:t>
      </w:r>
    </w:p>
    <w:p>
      <w:pPr>
        <w:spacing w:line="360" w:lineRule="auto"/>
        <w:ind w:firstLine="420" w:firstLineChars="200"/>
        <w:rPr>
          <w:rFonts w:asciiTheme="minorEastAsia" w:hAnsiTheme="minorEastAsia"/>
          <w:szCs w:val="21"/>
        </w:rPr>
      </w:pPr>
      <w:r>
        <w:rPr>
          <w:rFonts w:hint="eastAsia" w:asciiTheme="minorEastAsia" w:hAnsiTheme="minorEastAsia"/>
          <w:szCs w:val="21"/>
        </w:rPr>
        <w:t>6、参与本部门计划购置固定资产的可行性论证、招标和采购等工作；</w:t>
      </w:r>
    </w:p>
    <w:p>
      <w:pPr>
        <w:spacing w:line="360" w:lineRule="auto"/>
        <w:ind w:firstLine="315" w:firstLineChars="150"/>
        <w:rPr>
          <w:rFonts w:asciiTheme="minorEastAsia" w:hAnsiTheme="minorEastAsia"/>
          <w:szCs w:val="21"/>
        </w:rPr>
      </w:pPr>
      <w:r>
        <w:rPr>
          <w:rFonts w:hint="eastAsia" w:asciiTheme="minorEastAsia" w:hAnsiTheme="minorEastAsia"/>
          <w:szCs w:val="21"/>
        </w:rPr>
        <w:t xml:space="preserve">第二十八条 </w:t>
      </w:r>
      <w:r>
        <w:rPr>
          <w:szCs w:val="21"/>
        </w:rPr>
        <w:t>固定资产的</w:t>
      </w:r>
      <w:r>
        <w:rPr>
          <w:rFonts w:hint="eastAsia"/>
          <w:szCs w:val="21"/>
        </w:rPr>
        <w:t>盘点</w:t>
      </w:r>
    </w:p>
    <w:p>
      <w:pPr>
        <w:pStyle w:val="31"/>
        <w:spacing w:line="360" w:lineRule="auto"/>
        <w:ind w:firstLine="411" w:firstLineChars="196"/>
        <w:rPr>
          <w:rFonts w:asciiTheme="minorEastAsia" w:hAnsiTheme="minorEastAsia"/>
          <w:szCs w:val="21"/>
        </w:rPr>
      </w:pPr>
      <w:r>
        <w:rPr>
          <w:rFonts w:hint="eastAsia" w:asciiTheme="minorEastAsia" w:hAnsiTheme="minorEastAsia"/>
          <w:szCs w:val="21"/>
        </w:rPr>
        <w:t>1、综合管理部应定期组织相关部门对固定资产进行盘点，每年至少全面盘点一次。</w:t>
      </w:r>
      <w:r>
        <w:rPr>
          <w:rFonts w:asciiTheme="minorEastAsia" w:hAnsiTheme="minorEastAsia"/>
          <w:szCs w:val="21"/>
        </w:rPr>
        <w:t xml:space="preserve"> </w:t>
      </w:r>
    </w:p>
    <w:p>
      <w:pPr>
        <w:pStyle w:val="31"/>
        <w:spacing w:line="360" w:lineRule="auto"/>
        <w:ind w:firstLine="411" w:firstLineChars="196"/>
        <w:rPr>
          <w:rFonts w:asciiTheme="minorEastAsia" w:hAnsiTheme="minorEastAsia"/>
          <w:szCs w:val="21"/>
        </w:rPr>
      </w:pPr>
      <w:r>
        <w:rPr>
          <w:rFonts w:hint="eastAsia" w:asciiTheme="minorEastAsia" w:hAnsiTheme="minorEastAsia"/>
          <w:szCs w:val="21"/>
        </w:rPr>
        <w:t>2、固定资产的盘点应填制《固定资产盘点明细表》，详细反映所盘点的固定资产的实有数量，并与固定资产帐面数核对，做到帐务、实物、和固定资产卡片相核对一致。</w:t>
      </w:r>
    </w:p>
    <w:p>
      <w:pPr>
        <w:widowControl/>
        <w:shd w:val="clear" w:color="auto" w:fill="FFFFFF"/>
        <w:spacing w:line="360" w:lineRule="auto"/>
        <w:ind w:firstLine="411" w:firstLineChars="196"/>
        <w:jc w:val="left"/>
        <w:rPr>
          <w:rFonts w:asciiTheme="minorEastAsia" w:hAnsiTheme="minorEastAsia"/>
          <w:szCs w:val="21"/>
        </w:rPr>
      </w:pPr>
      <w:r>
        <w:rPr>
          <w:rFonts w:hint="eastAsia" w:asciiTheme="minorEastAsia" w:hAnsiTheme="minorEastAsia"/>
          <w:szCs w:val="21"/>
        </w:rPr>
        <w:t>3、若固定资产盘盈或盘亏，须编报《固定资产盘盈盘亏报告表》。对盘点过程中发现盘盈、盘亏、毁损的，资产综合管理部应逐个查出原因、提出处理意见，经使用部门签字确认、中心总经理、资财中心总经理、总经理批准后，由财务部进行相应的帐务处理。</w:t>
      </w:r>
    </w:p>
    <w:p>
      <w:pPr>
        <w:widowControl/>
        <w:shd w:val="clear" w:color="auto" w:fill="FFFFFF"/>
        <w:spacing w:line="360" w:lineRule="auto"/>
        <w:ind w:firstLine="411" w:firstLineChars="196"/>
        <w:jc w:val="left"/>
        <w:rPr>
          <w:rFonts w:asciiTheme="minorEastAsia" w:hAnsiTheme="minorEastAsia"/>
          <w:szCs w:val="21"/>
        </w:rPr>
      </w:pPr>
      <w:r>
        <w:rPr>
          <w:rFonts w:hint="eastAsia" w:asciiTheme="minorEastAsia" w:hAnsiTheme="minorEastAsia"/>
          <w:szCs w:val="21"/>
        </w:rPr>
        <w:t>4、盘点清查中发现的闲置资产要查明情况提出处理建议。</w:t>
      </w:r>
    </w:p>
    <w:p>
      <w:pPr>
        <w:widowControl/>
        <w:shd w:val="clear" w:color="auto" w:fill="FFFFFF"/>
        <w:spacing w:line="360" w:lineRule="auto"/>
        <w:ind w:firstLine="411" w:firstLineChars="196"/>
        <w:jc w:val="left"/>
        <w:rPr>
          <w:b/>
          <w:szCs w:val="21"/>
        </w:rPr>
      </w:pPr>
      <w:r>
        <w:rPr>
          <w:rFonts w:hint="eastAsia" w:asciiTheme="minorEastAsia" w:hAnsiTheme="minorEastAsia"/>
          <w:szCs w:val="21"/>
        </w:rPr>
        <w:t xml:space="preserve">第二十九条 </w:t>
      </w:r>
      <w:r>
        <w:rPr>
          <w:rFonts w:hint="eastAsia"/>
          <w:szCs w:val="21"/>
        </w:rPr>
        <w:t>固定资产的维修</w:t>
      </w:r>
    </w:p>
    <w:p>
      <w:pPr>
        <w:pStyle w:val="31"/>
        <w:spacing w:line="360" w:lineRule="auto"/>
        <w:jc w:val="left"/>
        <w:rPr>
          <w:rFonts w:asciiTheme="minorEastAsia" w:hAnsiTheme="minorEastAsia"/>
          <w:szCs w:val="21"/>
        </w:rPr>
      </w:pPr>
      <w:r>
        <w:rPr>
          <w:rFonts w:hint="eastAsia" w:asciiTheme="minorEastAsia" w:hAnsiTheme="minorEastAsia"/>
          <w:szCs w:val="21"/>
        </w:rPr>
        <w:t>1、综合管理部负责固定资产的维修管理；</w:t>
      </w:r>
    </w:p>
    <w:p>
      <w:pPr>
        <w:pStyle w:val="31"/>
        <w:spacing w:line="360" w:lineRule="auto"/>
        <w:jc w:val="left"/>
        <w:rPr>
          <w:rFonts w:asciiTheme="minorEastAsia" w:hAnsiTheme="minorEastAsia"/>
          <w:szCs w:val="21"/>
        </w:rPr>
      </w:pPr>
      <w:r>
        <w:rPr>
          <w:rFonts w:hint="eastAsia" w:asciiTheme="minorEastAsia" w:hAnsiTheme="minorEastAsia"/>
          <w:szCs w:val="21"/>
        </w:rPr>
        <w:t>2、 固定资产使用过程发生故障使用部门无法自行处理的，应及时通知综合管理部维修；</w:t>
      </w:r>
    </w:p>
    <w:p>
      <w:pPr>
        <w:pStyle w:val="31"/>
        <w:spacing w:line="360" w:lineRule="auto"/>
        <w:jc w:val="left"/>
        <w:rPr>
          <w:rFonts w:asciiTheme="minorEastAsia" w:hAnsiTheme="minorEastAsia"/>
          <w:szCs w:val="21"/>
        </w:rPr>
      </w:pPr>
      <w:r>
        <w:rPr>
          <w:rFonts w:hint="eastAsia" w:asciiTheme="minorEastAsia" w:hAnsiTheme="minorEastAsia"/>
          <w:szCs w:val="21"/>
        </w:rPr>
        <w:t>3、综合管理部无法自行维修的，</w:t>
      </w:r>
      <w:r>
        <w:rPr>
          <w:rFonts w:asciiTheme="minorEastAsia" w:hAnsiTheme="minorEastAsia"/>
          <w:szCs w:val="21"/>
        </w:rPr>
        <w:t>上报</w:t>
      </w:r>
      <w:r>
        <w:rPr>
          <w:rFonts w:hint="eastAsia" w:asciiTheme="minorEastAsia" w:hAnsiTheme="minorEastAsia"/>
          <w:szCs w:val="21"/>
        </w:rPr>
        <w:t>中心</w:t>
      </w:r>
      <w:r>
        <w:rPr>
          <w:rFonts w:asciiTheme="minorEastAsia" w:hAnsiTheme="minorEastAsia"/>
          <w:szCs w:val="21"/>
        </w:rPr>
        <w:t>领导</w:t>
      </w:r>
      <w:r>
        <w:rPr>
          <w:rFonts w:hint="eastAsia" w:asciiTheme="minorEastAsia" w:hAnsiTheme="minorEastAsia"/>
          <w:szCs w:val="21"/>
        </w:rPr>
        <w:t>同意</w:t>
      </w:r>
      <w:r>
        <w:rPr>
          <w:rFonts w:asciiTheme="minorEastAsia" w:hAnsiTheme="minorEastAsia"/>
          <w:szCs w:val="21"/>
        </w:rPr>
        <w:t>后</w:t>
      </w:r>
      <w:r>
        <w:rPr>
          <w:rFonts w:hint="eastAsia" w:asciiTheme="minorEastAsia" w:hAnsiTheme="minorEastAsia"/>
          <w:szCs w:val="21"/>
        </w:rPr>
        <w:t>委外维修；</w:t>
      </w:r>
    </w:p>
    <w:p>
      <w:pPr>
        <w:spacing w:line="360" w:lineRule="auto"/>
        <w:ind w:left="420" w:leftChars="200"/>
        <w:jc w:val="left"/>
        <w:rPr>
          <w:rFonts w:asciiTheme="minorEastAsia" w:hAnsiTheme="minorEastAsia"/>
          <w:szCs w:val="21"/>
        </w:rPr>
      </w:pPr>
      <w:r>
        <w:rPr>
          <w:rFonts w:hint="eastAsia" w:asciiTheme="minorEastAsia" w:hAnsiTheme="minorEastAsia"/>
          <w:szCs w:val="21"/>
        </w:rPr>
        <w:t>4、固定资产维修好后，及时通知固定资产使用部门。</w:t>
      </w:r>
    </w:p>
    <w:p>
      <w:pPr>
        <w:jc w:val="center"/>
        <w:rPr>
          <w:b/>
          <w:sz w:val="32"/>
          <w:szCs w:val="32"/>
        </w:rPr>
      </w:pPr>
      <w:r>
        <w:rPr>
          <w:rFonts w:hint="eastAsia"/>
          <w:b/>
          <w:sz w:val="32"/>
          <w:szCs w:val="32"/>
        </w:rPr>
        <w:t>七、罚则</w:t>
      </w:r>
    </w:p>
    <w:p>
      <w:pPr>
        <w:ind w:firstLine="420" w:firstLineChars="200"/>
        <w:rPr>
          <w:szCs w:val="21"/>
        </w:rPr>
      </w:pPr>
    </w:p>
    <w:p>
      <w:pPr>
        <w:spacing w:line="360" w:lineRule="auto"/>
        <w:ind w:firstLine="420" w:firstLineChars="200"/>
        <w:rPr>
          <w:rFonts w:asciiTheme="minorEastAsia" w:hAnsiTheme="minorEastAsia"/>
          <w:szCs w:val="21"/>
        </w:rPr>
      </w:pPr>
      <w:r>
        <w:rPr>
          <w:rFonts w:hint="eastAsia" w:asciiTheme="minorEastAsia" w:hAnsiTheme="minorEastAsia"/>
          <w:szCs w:val="21"/>
        </w:rPr>
        <w:t>第三十条 当经办人员没有按照上述规定执行但没有造成实际损失的，由综合管理部通报本人及所在部门经理，处以责任人100—500元处罚。</w:t>
      </w:r>
    </w:p>
    <w:p>
      <w:pPr>
        <w:spacing w:line="360" w:lineRule="auto"/>
        <w:ind w:firstLine="420" w:firstLineChars="200"/>
        <w:rPr>
          <w:rFonts w:asciiTheme="minorEastAsia" w:hAnsiTheme="minorEastAsia"/>
          <w:szCs w:val="21"/>
        </w:rPr>
      </w:pPr>
      <w:r>
        <w:rPr>
          <w:rFonts w:hint="eastAsia" w:asciiTheme="minorEastAsia" w:hAnsiTheme="minorEastAsia"/>
          <w:szCs w:val="21"/>
        </w:rPr>
        <w:t>第三十一条 如果因经办人员没有按上述规定执行而造成实际损失的，由综合管理部书面通报本人及所在部门经理，责任人按不低于实际损失金额的50%赔偿公司经济损失。</w:t>
      </w:r>
    </w:p>
    <w:p>
      <w:pPr>
        <w:jc w:val="center"/>
        <w:rPr>
          <w:b/>
          <w:sz w:val="32"/>
          <w:szCs w:val="32"/>
        </w:rPr>
      </w:pPr>
      <w:r>
        <w:rPr>
          <w:rFonts w:hint="eastAsia"/>
          <w:b/>
          <w:sz w:val="32"/>
          <w:szCs w:val="32"/>
        </w:rPr>
        <w:t>八、其他事项</w:t>
      </w:r>
    </w:p>
    <w:p>
      <w:pPr>
        <w:spacing w:line="360" w:lineRule="auto"/>
        <w:ind w:firstLine="420" w:firstLineChars="200"/>
        <w:jc w:val="left"/>
        <w:rPr>
          <w:rFonts w:asciiTheme="minorEastAsia" w:hAnsiTheme="minorEastAsia"/>
          <w:kern w:val="0"/>
          <w:szCs w:val="21"/>
        </w:rPr>
      </w:pPr>
      <w:r>
        <w:rPr>
          <w:rFonts w:hint="eastAsia" w:asciiTheme="minorEastAsia" w:hAnsiTheme="minorEastAsia"/>
          <w:szCs w:val="21"/>
        </w:rPr>
        <w:t>第三十二条 各资产使用中心（部门）可以根据本制度及各中心（部门）固定资产情况</w:t>
      </w:r>
      <w:r>
        <w:rPr>
          <w:rFonts w:hint="eastAsia" w:asciiTheme="minorEastAsia" w:hAnsiTheme="minorEastAsia"/>
          <w:kern w:val="0"/>
          <w:szCs w:val="21"/>
        </w:rPr>
        <w:t>分别编制《生产设备管理制度》、《办公设备管理制度》、《研发及测试中心仪器设备管理制度》。</w:t>
      </w:r>
    </w:p>
    <w:p>
      <w:pPr>
        <w:spacing w:line="360" w:lineRule="auto"/>
        <w:ind w:left="420" w:leftChars="200"/>
        <w:jc w:val="left"/>
        <w:rPr>
          <w:szCs w:val="21"/>
        </w:rPr>
      </w:pPr>
      <w:r>
        <w:rPr>
          <w:rFonts w:hint="eastAsia" w:asciiTheme="minorEastAsia" w:hAnsiTheme="minorEastAsia"/>
          <w:szCs w:val="21"/>
        </w:rPr>
        <w:t xml:space="preserve">第三十三条 </w:t>
      </w:r>
      <w:r>
        <w:rPr>
          <w:rFonts w:asciiTheme="minorEastAsia" w:hAnsiTheme="minorEastAsia"/>
          <w:szCs w:val="21"/>
        </w:rPr>
        <w:t>本制度由</w:t>
      </w:r>
      <w:r>
        <w:rPr>
          <w:rFonts w:hint="eastAsia" w:asciiTheme="minorEastAsia" w:hAnsiTheme="minorEastAsia"/>
          <w:szCs w:val="21"/>
        </w:rPr>
        <w:t>资财行管中心</w:t>
      </w:r>
      <w:r>
        <w:rPr>
          <w:rFonts w:asciiTheme="minorEastAsia" w:hAnsiTheme="minorEastAsia"/>
          <w:szCs w:val="21"/>
        </w:rPr>
        <w:t>负责解释</w:t>
      </w:r>
      <w:r>
        <w:rPr>
          <w:rFonts w:hint="eastAsia" w:asciiTheme="minorEastAsia" w:hAnsiTheme="minorEastAsia"/>
          <w:szCs w:val="21"/>
        </w:rPr>
        <w:t>，并视公司发展进行不断修订和完善。</w:t>
      </w:r>
      <w:r>
        <w:rPr>
          <w:rFonts w:asciiTheme="minorEastAsia" w:hAnsiTheme="minorEastAsia"/>
          <w:szCs w:val="21"/>
        </w:rPr>
        <w:t xml:space="preserve"> </w:t>
      </w:r>
      <w:r>
        <w:rPr>
          <w:rFonts w:asciiTheme="minorEastAsia" w:hAnsiTheme="minorEastAsia"/>
          <w:szCs w:val="21"/>
        </w:rPr>
        <w:br w:type="textWrapping"/>
      </w:r>
      <w:r>
        <w:rPr>
          <w:rFonts w:hint="eastAsia" w:asciiTheme="minorEastAsia" w:hAnsiTheme="minorEastAsia"/>
          <w:szCs w:val="21"/>
        </w:rPr>
        <w:t>第三十四条 本制度自2014年6月1日起执行，同时废止原《固定资产管理制度》</w:t>
      </w:r>
      <w:r>
        <w:rPr>
          <w:rFonts w:asciiTheme="minorEastAsia" w:hAnsiTheme="minorEastAsia"/>
          <w:szCs w:val="21"/>
        </w:rPr>
        <w:t>。</w:t>
      </w:r>
    </w:p>
    <w:p>
      <w:pPr>
        <w:spacing w:line="360" w:lineRule="auto"/>
        <w:jc w:val="left"/>
        <w:rPr>
          <w:b/>
          <w:szCs w:val="21"/>
        </w:rPr>
      </w:pPr>
    </w:p>
    <w:p>
      <w:pPr>
        <w:spacing w:line="360" w:lineRule="auto"/>
        <w:jc w:val="left"/>
        <w:rPr>
          <w:b/>
          <w:szCs w:val="21"/>
        </w:rPr>
      </w:pPr>
    </w:p>
    <w:p>
      <w:pPr>
        <w:spacing w:line="360" w:lineRule="auto"/>
        <w:jc w:val="left"/>
        <w:rPr>
          <w:b/>
          <w:szCs w:val="21"/>
        </w:rPr>
      </w:pPr>
    </w:p>
    <w:p>
      <w:pPr>
        <w:spacing w:line="360" w:lineRule="auto"/>
        <w:ind w:left="4937" w:leftChars="2351" w:firstLine="33" w:firstLineChars="11"/>
        <w:jc w:val="left"/>
        <w:rPr>
          <w:b/>
          <w:sz w:val="30"/>
          <w:szCs w:val="30"/>
        </w:rPr>
      </w:pPr>
      <w:r>
        <w:rPr>
          <w:rFonts w:hint="eastAsia"/>
          <w:b/>
          <w:sz w:val="30"/>
          <w:szCs w:val="30"/>
        </w:rPr>
        <w:t>山东XX电气有限公司</w:t>
      </w:r>
    </w:p>
    <w:p>
      <w:pPr>
        <w:spacing w:line="360" w:lineRule="auto"/>
        <w:ind w:left="5775" w:leftChars="2578" w:right="84" w:rightChars="40" w:hanging="361" w:hangingChars="120"/>
        <w:jc w:val="left"/>
        <w:rPr>
          <w:b/>
          <w:sz w:val="30"/>
          <w:szCs w:val="30"/>
        </w:rPr>
      </w:pPr>
      <w:r>
        <w:rPr>
          <w:rFonts w:hint="eastAsia"/>
          <w:b/>
          <w:sz w:val="30"/>
          <w:szCs w:val="30"/>
        </w:rPr>
        <w:t>2014年6月1日</w:t>
      </w:r>
    </w:p>
    <w:p>
      <w:pPr>
        <w:pStyle w:val="16"/>
        <w:spacing w:line="500" w:lineRule="exact"/>
        <w:rPr>
          <w:rFonts w:eastAsia="黑体"/>
          <w:b/>
          <w:bCs/>
          <w:sz w:val="28"/>
          <w:szCs w:val="28"/>
        </w:rPr>
      </w:pPr>
      <w:r>
        <w:rPr>
          <w:rFonts w:hint="eastAsia" w:eastAsia="黑体"/>
          <w:b/>
          <w:bCs/>
          <w:sz w:val="28"/>
          <w:szCs w:val="28"/>
        </w:rPr>
        <w:t xml:space="preserve">主题词：2014  固定 资产 管理 制度     </w:t>
      </w:r>
    </w:p>
    <w:p>
      <w:pPr>
        <w:pStyle w:val="16"/>
        <w:spacing w:line="500" w:lineRule="exact"/>
        <w:rPr>
          <w:sz w:val="28"/>
          <w:szCs w:val="28"/>
        </w:rPr>
      </w:pPr>
      <w:r>
        <w:rPr>
          <w:rFonts w:ascii="Times New Roman"/>
          <w:sz w:val="28"/>
          <w:szCs w:val="28"/>
        </w:rPr>
        <w:pict>
          <v:line id="_x0000_s2066" o:spid="_x0000_s2066" o:spt="20" style="position:absolute;left:0pt;margin-left:-36pt;margin-top:38.45pt;height:0pt;width:486pt;z-index:251660288;mso-width-relative:page;mso-height-relative:page;" coordsize="21600,21600">
            <v:path arrowok="t"/>
            <v:fill focussize="0,0"/>
            <v:stroke weight="1.25pt"/>
            <v:imagedata o:title=""/>
            <o:lock v:ext="edit"/>
          </v:line>
        </w:pict>
      </w:r>
      <w:r>
        <w:rPr>
          <w:rFonts w:hint="eastAsia" w:eastAsia="黑体"/>
          <w:b/>
          <w:bCs/>
          <w:sz w:val="28"/>
          <w:szCs w:val="28"/>
        </w:rPr>
        <w:t>抄送：各中心</w:t>
      </w:r>
    </w:p>
    <w:p>
      <w:pPr>
        <w:spacing w:beforeLines="50" w:line="460" w:lineRule="exact"/>
        <w:rPr>
          <w:rFonts w:ascii="仿宋_GB2312" w:eastAsia="仿宋_GB2312"/>
          <w:b/>
          <w:bCs/>
          <w:sz w:val="24"/>
        </w:rPr>
      </w:pPr>
      <w:r>
        <w:rPr>
          <w:rFonts w:hint="eastAsia" w:ascii="仿宋_GB2312" w:eastAsia="仿宋_GB2312"/>
          <w:b/>
          <w:bCs/>
          <w:sz w:val="28"/>
          <w:szCs w:val="28"/>
        </w:rPr>
        <w:t xml:space="preserve">山东XX综合管理部                       2014年6月1日发布   </w:t>
      </w:r>
      <w:r>
        <w:rPr>
          <w:rFonts w:hint="eastAsia" w:ascii="仿宋_GB2312" w:eastAsia="仿宋_GB2312"/>
          <w:b/>
          <w:bCs/>
          <w:sz w:val="24"/>
        </w:rPr>
        <w:t xml:space="preserve">                                 </w:t>
      </w:r>
    </w:p>
    <w:p>
      <w:pPr>
        <w:spacing w:line="460" w:lineRule="exact"/>
        <w:ind w:right="760"/>
        <w:jc w:val="right"/>
      </w:pPr>
      <w:r>
        <w:rPr>
          <w:rFonts w:ascii="宋体" w:hAnsi="宋体"/>
          <w:sz w:val="24"/>
        </w:rPr>
        <w:pict>
          <v:line id="_x0000_s2067" o:spid="_x0000_s2067" o:spt="20" style="position:absolute;left:0pt;margin-left:-36pt;margin-top:7.8pt;height:0pt;width:486pt;z-index:251661312;mso-width-relative:page;mso-height-relative:page;" coordsize="21600,21600">
            <v:path arrowok="t"/>
            <v:fill focussize="0,0"/>
            <v:stroke weight="1.25pt"/>
            <v:imagedata o:title=""/>
            <o:lock v:ext="edit"/>
          </v:line>
        </w:pict>
      </w:r>
    </w:p>
    <w:p>
      <w:pPr>
        <w:spacing w:line="360" w:lineRule="auto"/>
        <w:jc w:val="left"/>
        <w:rPr>
          <w:b/>
          <w:szCs w:val="21"/>
        </w:rPr>
      </w:pPr>
      <w:r>
        <w:rPr>
          <w:rFonts w:hint="eastAsia"/>
          <w:b/>
          <w:szCs w:val="21"/>
        </w:rPr>
        <w:t>附表：1、《固定资产请购单》</w:t>
      </w:r>
    </w:p>
    <w:p>
      <w:pPr>
        <w:spacing w:line="360" w:lineRule="auto"/>
        <w:ind w:firstLine="723" w:firstLineChars="343"/>
        <w:jc w:val="left"/>
        <w:rPr>
          <w:b/>
          <w:szCs w:val="21"/>
        </w:rPr>
      </w:pPr>
      <w:r>
        <w:rPr>
          <w:rFonts w:hint="eastAsia"/>
          <w:b/>
          <w:szCs w:val="21"/>
        </w:rPr>
        <w:t>2、《固定资产验收登记单》</w:t>
      </w:r>
    </w:p>
    <w:p>
      <w:pPr>
        <w:spacing w:line="360" w:lineRule="auto"/>
        <w:ind w:firstLine="723" w:firstLineChars="343"/>
        <w:jc w:val="left"/>
        <w:rPr>
          <w:b/>
          <w:szCs w:val="21"/>
        </w:rPr>
      </w:pPr>
      <w:r>
        <w:rPr>
          <w:rFonts w:hint="eastAsia"/>
          <w:b/>
          <w:szCs w:val="21"/>
        </w:rPr>
        <w:t>3、《固定资产内部转移单》</w:t>
      </w:r>
    </w:p>
    <w:p>
      <w:pPr>
        <w:spacing w:line="360" w:lineRule="auto"/>
        <w:ind w:firstLine="723" w:firstLineChars="343"/>
        <w:jc w:val="left"/>
        <w:rPr>
          <w:b/>
          <w:szCs w:val="21"/>
        </w:rPr>
      </w:pPr>
      <w:r>
        <w:rPr>
          <w:rFonts w:hint="eastAsia"/>
          <w:b/>
          <w:szCs w:val="21"/>
        </w:rPr>
        <w:t>4、《固定资产处置申请单》</w:t>
      </w:r>
    </w:p>
    <w:p>
      <w:pPr>
        <w:spacing w:line="360" w:lineRule="auto"/>
        <w:jc w:val="center"/>
        <w:rPr>
          <w:rFonts w:ascii="宋体" w:hAnsi="宋体"/>
          <w:sz w:val="44"/>
          <w:szCs w:val="44"/>
        </w:rPr>
      </w:pPr>
    </w:p>
    <w:p>
      <w:pPr>
        <w:spacing w:line="360" w:lineRule="auto"/>
        <w:jc w:val="center"/>
        <w:rPr>
          <w:rFonts w:ascii="宋体" w:hAnsi="宋体"/>
          <w:sz w:val="44"/>
          <w:szCs w:val="44"/>
        </w:rPr>
      </w:pPr>
    </w:p>
    <w:p>
      <w:pPr>
        <w:spacing w:line="360" w:lineRule="auto"/>
        <w:jc w:val="center"/>
        <w:rPr>
          <w:rFonts w:ascii="宋体" w:hAnsi="宋体"/>
          <w:sz w:val="44"/>
          <w:szCs w:val="44"/>
        </w:rPr>
      </w:pPr>
      <w:r>
        <w:rPr>
          <w:rFonts w:hint="eastAsia" w:ascii="宋体" w:hAnsi="宋体"/>
          <w:sz w:val="44"/>
          <w:szCs w:val="44"/>
        </w:rPr>
        <w:t>固定资产请购单</w:t>
      </w:r>
    </w:p>
    <w:p>
      <w:pPr>
        <w:tabs>
          <w:tab w:val="left" w:pos="6270"/>
          <w:tab w:val="left" w:pos="7797"/>
        </w:tabs>
        <w:ind w:firstLine="3600" w:firstLineChars="1500"/>
        <w:rPr>
          <w:rFonts w:ascii="仿宋_GB2312" w:eastAsia="仿宋_GB2312"/>
          <w:sz w:val="24"/>
          <w:szCs w:val="24"/>
        </w:rPr>
      </w:pPr>
      <w:r>
        <w:rPr>
          <w:rFonts w:hint="eastAsia" w:ascii="仿宋_GB2312" w:eastAsia="仿宋_GB2312"/>
          <w:sz w:val="24"/>
          <w:szCs w:val="24"/>
        </w:rPr>
        <w:t>年   月   日</w:t>
      </w:r>
      <w:r>
        <w:rPr>
          <w:rFonts w:hint="eastAsia" w:ascii="仿宋_GB2312" w:eastAsia="仿宋_GB2312"/>
          <w:sz w:val="24"/>
          <w:szCs w:val="24"/>
        </w:rPr>
        <w:tab/>
      </w:r>
      <w:r>
        <w:rPr>
          <w:rFonts w:hint="eastAsia" w:ascii="仿宋_GB2312" w:eastAsia="仿宋_GB2312"/>
          <w:sz w:val="24"/>
          <w:szCs w:val="24"/>
        </w:rPr>
        <w:t>单号：</w:t>
      </w:r>
    </w:p>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9"/>
        <w:gridCol w:w="1420"/>
        <w:gridCol w:w="1421"/>
        <w:gridCol w:w="1420"/>
        <w:gridCol w:w="1420"/>
        <w:gridCol w:w="14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tcPr>
          <w:p>
            <w:pPr>
              <w:spacing w:line="360" w:lineRule="auto"/>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请购部门</w:t>
            </w:r>
          </w:p>
        </w:tc>
        <w:tc>
          <w:tcPr>
            <w:tcW w:w="2841" w:type="dxa"/>
            <w:gridSpan w:val="2"/>
          </w:tcPr>
          <w:p>
            <w:pPr>
              <w:spacing w:line="360" w:lineRule="auto"/>
              <w:jc w:val="center"/>
              <w:rPr>
                <w:rFonts w:ascii="Times New Roman" w:hAnsi="Times New Roman" w:eastAsia="宋体" w:cs="Times New Roman"/>
                <w:kern w:val="0"/>
                <w:sz w:val="18"/>
                <w:szCs w:val="18"/>
              </w:rPr>
            </w:pPr>
          </w:p>
        </w:tc>
        <w:tc>
          <w:tcPr>
            <w:tcW w:w="1420" w:type="dxa"/>
          </w:tcPr>
          <w:p>
            <w:pPr>
              <w:spacing w:line="360" w:lineRule="auto"/>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请购人：</w:t>
            </w:r>
          </w:p>
        </w:tc>
        <w:tc>
          <w:tcPr>
            <w:tcW w:w="2842" w:type="dxa"/>
            <w:gridSpan w:val="2"/>
          </w:tcPr>
          <w:p>
            <w:pPr>
              <w:spacing w:line="360" w:lineRule="auto"/>
              <w:jc w:val="center"/>
              <w:rPr>
                <w:rFonts w:ascii="Times New Roman" w:hAnsi="Times New Roman" w:eastAsia="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tcPr>
          <w:p>
            <w:pPr>
              <w:spacing w:line="360" w:lineRule="auto"/>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资产名称</w:t>
            </w:r>
          </w:p>
        </w:tc>
        <w:tc>
          <w:tcPr>
            <w:tcW w:w="2841" w:type="dxa"/>
            <w:gridSpan w:val="2"/>
          </w:tcPr>
          <w:p>
            <w:pPr>
              <w:spacing w:line="360" w:lineRule="auto"/>
              <w:jc w:val="center"/>
              <w:rPr>
                <w:rFonts w:ascii="Times New Roman" w:hAnsi="Times New Roman" w:eastAsia="宋体" w:cs="Times New Roman"/>
                <w:kern w:val="0"/>
                <w:sz w:val="18"/>
                <w:szCs w:val="18"/>
              </w:rPr>
            </w:pPr>
          </w:p>
        </w:tc>
        <w:tc>
          <w:tcPr>
            <w:tcW w:w="1420" w:type="dxa"/>
          </w:tcPr>
          <w:p>
            <w:pPr>
              <w:spacing w:line="360" w:lineRule="auto"/>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规格型号</w:t>
            </w:r>
          </w:p>
        </w:tc>
        <w:tc>
          <w:tcPr>
            <w:tcW w:w="2842" w:type="dxa"/>
            <w:gridSpan w:val="2"/>
          </w:tcPr>
          <w:p>
            <w:pPr>
              <w:spacing w:line="360" w:lineRule="auto"/>
              <w:jc w:val="center"/>
              <w:rPr>
                <w:rFonts w:ascii="Times New Roman" w:hAnsi="Times New Roman" w:eastAsia="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tcPr>
          <w:p>
            <w:pPr>
              <w:spacing w:line="360" w:lineRule="auto"/>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生产厂家</w:t>
            </w:r>
          </w:p>
        </w:tc>
        <w:tc>
          <w:tcPr>
            <w:tcW w:w="2841" w:type="dxa"/>
            <w:gridSpan w:val="2"/>
          </w:tcPr>
          <w:p>
            <w:pPr>
              <w:spacing w:line="360" w:lineRule="auto"/>
              <w:jc w:val="center"/>
              <w:rPr>
                <w:rFonts w:ascii="Times New Roman" w:hAnsi="Times New Roman" w:eastAsia="宋体" w:cs="Times New Roman"/>
                <w:kern w:val="0"/>
                <w:sz w:val="18"/>
                <w:szCs w:val="18"/>
              </w:rPr>
            </w:pPr>
          </w:p>
        </w:tc>
        <w:tc>
          <w:tcPr>
            <w:tcW w:w="1420" w:type="dxa"/>
          </w:tcPr>
          <w:p>
            <w:pPr>
              <w:spacing w:line="360" w:lineRule="auto"/>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数    量</w:t>
            </w:r>
          </w:p>
        </w:tc>
        <w:tc>
          <w:tcPr>
            <w:tcW w:w="2842" w:type="dxa"/>
            <w:gridSpan w:val="2"/>
          </w:tcPr>
          <w:p>
            <w:pPr>
              <w:spacing w:line="360" w:lineRule="auto"/>
              <w:jc w:val="center"/>
              <w:rPr>
                <w:rFonts w:ascii="Times New Roman" w:hAnsi="Times New Roman" w:eastAsia="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tcPr>
          <w:p>
            <w:pPr>
              <w:spacing w:line="360" w:lineRule="auto"/>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单    价</w:t>
            </w:r>
          </w:p>
        </w:tc>
        <w:tc>
          <w:tcPr>
            <w:tcW w:w="2841" w:type="dxa"/>
            <w:gridSpan w:val="2"/>
          </w:tcPr>
          <w:p>
            <w:pPr>
              <w:spacing w:line="360" w:lineRule="auto"/>
              <w:jc w:val="center"/>
              <w:rPr>
                <w:rFonts w:ascii="Times New Roman" w:hAnsi="Times New Roman" w:eastAsia="宋体" w:cs="Times New Roman"/>
                <w:kern w:val="0"/>
                <w:sz w:val="18"/>
                <w:szCs w:val="18"/>
              </w:rPr>
            </w:pPr>
          </w:p>
        </w:tc>
        <w:tc>
          <w:tcPr>
            <w:tcW w:w="1420" w:type="dxa"/>
          </w:tcPr>
          <w:p>
            <w:pPr>
              <w:spacing w:line="360" w:lineRule="auto"/>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总    价</w:t>
            </w:r>
          </w:p>
        </w:tc>
        <w:tc>
          <w:tcPr>
            <w:tcW w:w="2842" w:type="dxa"/>
            <w:gridSpan w:val="2"/>
          </w:tcPr>
          <w:p>
            <w:pPr>
              <w:spacing w:line="360" w:lineRule="auto"/>
              <w:jc w:val="center"/>
              <w:rPr>
                <w:rFonts w:ascii="Times New Roman" w:hAnsi="Times New Roman" w:eastAsia="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4" w:hRule="atLeast"/>
        </w:trPr>
        <w:tc>
          <w:tcPr>
            <w:tcW w:w="1419" w:type="dxa"/>
            <w:vAlign w:val="center"/>
          </w:tcPr>
          <w:p>
            <w:pPr>
              <w:spacing w:line="360" w:lineRule="auto"/>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请购事由</w:t>
            </w:r>
          </w:p>
          <w:p>
            <w:pPr>
              <w:spacing w:line="360" w:lineRule="auto"/>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及要求</w:t>
            </w:r>
          </w:p>
        </w:tc>
        <w:tc>
          <w:tcPr>
            <w:tcW w:w="7103" w:type="dxa"/>
            <w:gridSpan w:val="5"/>
            <w:vAlign w:val="center"/>
          </w:tcPr>
          <w:p>
            <w:pPr>
              <w:spacing w:line="360" w:lineRule="auto"/>
              <w:jc w:val="center"/>
              <w:rPr>
                <w:rFonts w:ascii="Times New Roman" w:hAnsi="Times New Roman" w:eastAsia="宋体" w:cs="Times New Roman"/>
                <w:kern w:val="0"/>
                <w:sz w:val="18"/>
                <w:szCs w:val="18"/>
              </w:rPr>
            </w:pPr>
          </w:p>
          <w:p>
            <w:pPr>
              <w:spacing w:line="360" w:lineRule="auto"/>
              <w:jc w:val="center"/>
              <w:rPr>
                <w:rFonts w:ascii="Times New Roman" w:hAnsi="Times New Roman" w:eastAsia="宋体" w:cs="Times New Roman"/>
                <w:kern w:val="0"/>
                <w:sz w:val="18"/>
                <w:szCs w:val="18"/>
              </w:rPr>
            </w:pPr>
          </w:p>
          <w:p>
            <w:pPr>
              <w:spacing w:line="360" w:lineRule="auto"/>
              <w:jc w:val="center"/>
              <w:rPr>
                <w:rFonts w:ascii="Times New Roman" w:hAnsi="Times New Roman" w:eastAsia="宋体" w:cs="Times New Roman"/>
                <w:kern w:val="0"/>
                <w:sz w:val="18"/>
                <w:szCs w:val="18"/>
              </w:rPr>
            </w:pPr>
          </w:p>
          <w:p>
            <w:pPr>
              <w:rPr>
                <w:rFonts w:ascii="Times New Roman" w:hAnsi="Times New Roman" w:eastAsia="宋体" w:cs="Times New Roman"/>
                <w:kern w:val="0"/>
                <w:sz w:val="18"/>
                <w:szCs w:val="18"/>
              </w:rPr>
            </w:pPr>
          </w:p>
          <w:p>
            <w:pPr>
              <w:rPr>
                <w:rFonts w:ascii="Times New Roman" w:hAnsi="Times New Roman" w:eastAsia="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5" w:hRule="atLeast"/>
        </w:trPr>
        <w:tc>
          <w:tcPr>
            <w:tcW w:w="1419" w:type="dxa"/>
            <w:vAlign w:val="center"/>
          </w:tcPr>
          <w:p>
            <w:pPr>
              <w:spacing w:line="360" w:lineRule="auto"/>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采购部</w:t>
            </w:r>
          </w:p>
        </w:tc>
        <w:tc>
          <w:tcPr>
            <w:tcW w:w="1420" w:type="dxa"/>
            <w:vAlign w:val="bottom"/>
          </w:tcPr>
          <w:p>
            <w:pPr>
              <w:spacing w:line="360" w:lineRule="auto"/>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负责人：</w:t>
            </w:r>
          </w:p>
        </w:tc>
        <w:tc>
          <w:tcPr>
            <w:tcW w:w="1421" w:type="dxa"/>
            <w:vAlign w:val="center"/>
          </w:tcPr>
          <w:p>
            <w:pPr>
              <w:spacing w:line="360" w:lineRule="auto"/>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综合管理部</w:t>
            </w:r>
          </w:p>
        </w:tc>
        <w:tc>
          <w:tcPr>
            <w:tcW w:w="1420" w:type="dxa"/>
            <w:vAlign w:val="bottom"/>
          </w:tcPr>
          <w:p>
            <w:pPr>
              <w:spacing w:line="360" w:lineRule="auto"/>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负责人：</w:t>
            </w:r>
          </w:p>
        </w:tc>
        <w:tc>
          <w:tcPr>
            <w:tcW w:w="1420" w:type="dxa"/>
            <w:vAlign w:val="center"/>
          </w:tcPr>
          <w:p>
            <w:pPr>
              <w:spacing w:line="360" w:lineRule="auto"/>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财务部</w:t>
            </w:r>
          </w:p>
        </w:tc>
        <w:tc>
          <w:tcPr>
            <w:tcW w:w="1422" w:type="dxa"/>
            <w:vAlign w:val="bottom"/>
          </w:tcPr>
          <w:p>
            <w:pPr>
              <w:spacing w:line="360" w:lineRule="auto"/>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vAlign w:val="center"/>
          </w:tcPr>
          <w:p>
            <w:pPr>
              <w:spacing w:line="360" w:lineRule="auto"/>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资财行管中心</w:t>
            </w:r>
          </w:p>
          <w:p>
            <w:pPr>
              <w:spacing w:line="360" w:lineRule="auto"/>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总经理意见</w:t>
            </w:r>
          </w:p>
        </w:tc>
        <w:tc>
          <w:tcPr>
            <w:tcW w:w="7103" w:type="dxa"/>
            <w:gridSpan w:val="5"/>
            <w:vAlign w:val="center"/>
          </w:tcPr>
          <w:p>
            <w:pPr>
              <w:spacing w:line="360" w:lineRule="auto"/>
              <w:jc w:val="left"/>
              <w:rPr>
                <w:rFonts w:ascii="Times New Roman" w:hAnsi="Times New Roman" w:eastAsia="宋体" w:cs="Times New Roman"/>
                <w:kern w:val="0"/>
                <w:sz w:val="18"/>
                <w:szCs w:val="18"/>
              </w:rPr>
            </w:pPr>
          </w:p>
          <w:p>
            <w:pPr>
              <w:spacing w:line="360" w:lineRule="auto"/>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vAlign w:val="center"/>
          </w:tcPr>
          <w:p>
            <w:pPr>
              <w:spacing w:line="360" w:lineRule="auto"/>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总经理意见</w:t>
            </w:r>
          </w:p>
        </w:tc>
        <w:tc>
          <w:tcPr>
            <w:tcW w:w="7103" w:type="dxa"/>
            <w:gridSpan w:val="5"/>
            <w:vAlign w:val="center"/>
          </w:tcPr>
          <w:p>
            <w:pPr>
              <w:spacing w:line="360" w:lineRule="auto"/>
              <w:jc w:val="left"/>
              <w:rPr>
                <w:rFonts w:ascii="Times New Roman" w:hAnsi="Times New Roman" w:eastAsia="宋体" w:cs="Times New Roman"/>
                <w:kern w:val="0"/>
                <w:sz w:val="18"/>
                <w:szCs w:val="18"/>
              </w:rPr>
            </w:pPr>
          </w:p>
          <w:p>
            <w:pPr>
              <w:spacing w:line="360" w:lineRule="auto"/>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4" w:hRule="atLeast"/>
        </w:trPr>
        <w:tc>
          <w:tcPr>
            <w:tcW w:w="1419" w:type="dxa"/>
            <w:vAlign w:val="center"/>
          </w:tcPr>
          <w:p>
            <w:pPr>
              <w:spacing w:line="360" w:lineRule="auto"/>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董事长意见</w:t>
            </w:r>
          </w:p>
        </w:tc>
        <w:tc>
          <w:tcPr>
            <w:tcW w:w="7103" w:type="dxa"/>
            <w:gridSpan w:val="5"/>
            <w:vAlign w:val="bottom"/>
          </w:tcPr>
          <w:p>
            <w:pPr>
              <w:spacing w:line="360" w:lineRule="auto"/>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 xml:space="preserve">                                           </w:t>
            </w:r>
          </w:p>
        </w:tc>
      </w:tr>
    </w:tbl>
    <w:p>
      <w:pPr>
        <w:spacing w:line="360" w:lineRule="auto"/>
        <w:jc w:val="center"/>
        <w:rPr>
          <w:rFonts w:ascii="宋体" w:hAnsi="宋体" w:eastAsia="宋体"/>
          <w:b/>
          <w:sz w:val="44"/>
          <w:szCs w:val="44"/>
        </w:rPr>
      </w:pPr>
    </w:p>
    <w:p>
      <w:pPr>
        <w:spacing w:line="360" w:lineRule="auto"/>
        <w:jc w:val="center"/>
        <w:rPr>
          <w:rFonts w:ascii="宋体" w:hAnsi="宋体" w:eastAsia="宋体"/>
          <w:b/>
          <w:sz w:val="44"/>
          <w:szCs w:val="44"/>
        </w:rPr>
      </w:pPr>
    </w:p>
    <w:p>
      <w:pPr>
        <w:spacing w:line="360" w:lineRule="auto"/>
        <w:jc w:val="center"/>
        <w:rPr>
          <w:rFonts w:ascii="宋体" w:hAnsi="宋体" w:eastAsia="宋体"/>
          <w:b/>
          <w:sz w:val="44"/>
          <w:szCs w:val="44"/>
        </w:rPr>
      </w:pPr>
    </w:p>
    <w:p>
      <w:pPr>
        <w:spacing w:line="360" w:lineRule="auto"/>
        <w:jc w:val="center"/>
        <w:rPr>
          <w:rFonts w:ascii="宋体" w:hAnsi="宋体" w:eastAsia="宋体"/>
          <w:b/>
          <w:sz w:val="44"/>
          <w:szCs w:val="44"/>
        </w:rPr>
      </w:pPr>
    </w:p>
    <w:p>
      <w:pPr>
        <w:spacing w:line="360" w:lineRule="auto"/>
        <w:jc w:val="center"/>
        <w:rPr>
          <w:rFonts w:ascii="宋体" w:hAnsi="宋体" w:eastAsia="宋体"/>
          <w:b/>
          <w:sz w:val="44"/>
          <w:szCs w:val="44"/>
        </w:rPr>
      </w:pPr>
    </w:p>
    <w:p>
      <w:pPr>
        <w:spacing w:line="360" w:lineRule="auto"/>
        <w:jc w:val="center"/>
        <w:rPr>
          <w:rFonts w:ascii="宋体" w:hAnsi="宋体" w:eastAsia="宋体"/>
          <w:b/>
          <w:sz w:val="44"/>
          <w:szCs w:val="44"/>
        </w:rPr>
      </w:pPr>
    </w:p>
    <w:p>
      <w:pPr>
        <w:spacing w:line="360" w:lineRule="auto"/>
        <w:jc w:val="center"/>
        <w:rPr>
          <w:rFonts w:ascii="宋体" w:hAnsi="宋体" w:eastAsia="宋体"/>
          <w:b/>
          <w:sz w:val="44"/>
          <w:szCs w:val="44"/>
        </w:rPr>
      </w:pPr>
    </w:p>
    <w:p>
      <w:pPr>
        <w:spacing w:line="360" w:lineRule="auto"/>
        <w:jc w:val="center"/>
        <w:rPr>
          <w:rFonts w:ascii="宋体" w:hAnsi="宋体" w:eastAsia="宋体"/>
          <w:b/>
          <w:sz w:val="44"/>
          <w:szCs w:val="44"/>
        </w:rPr>
      </w:pPr>
      <w:r>
        <w:rPr>
          <w:rFonts w:hint="eastAsia" w:ascii="宋体" w:hAnsi="宋体" w:eastAsia="宋体"/>
          <w:b/>
          <w:sz w:val="44"/>
          <w:szCs w:val="44"/>
        </w:rPr>
        <w:t>固定资产验收登记单</w:t>
      </w:r>
    </w:p>
    <w:p>
      <w:pPr>
        <w:tabs>
          <w:tab w:val="left" w:pos="6270"/>
          <w:tab w:val="left" w:pos="7797"/>
        </w:tabs>
        <w:spacing w:line="360" w:lineRule="auto"/>
        <w:ind w:firstLine="3600" w:firstLineChars="1500"/>
        <w:rPr>
          <w:rFonts w:ascii="仿宋_GB2312" w:eastAsia="仿宋_GB2312"/>
          <w:sz w:val="24"/>
          <w:szCs w:val="24"/>
        </w:rPr>
      </w:pPr>
      <w:r>
        <w:rPr>
          <w:rFonts w:hint="eastAsia" w:ascii="仿宋_GB2312" w:eastAsia="仿宋_GB2312"/>
          <w:sz w:val="24"/>
          <w:szCs w:val="24"/>
        </w:rPr>
        <w:t xml:space="preserve"> 年   月   日</w:t>
      </w:r>
      <w:r>
        <w:rPr>
          <w:rFonts w:hint="eastAsia" w:ascii="仿宋_GB2312" w:eastAsia="仿宋_GB2312"/>
          <w:sz w:val="24"/>
          <w:szCs w:val="24"/>
        </w:rPr>
        <w:tab/>
      </w:r>
      <w:r>
        <w:rPr>
          <w:rFonts w:hint="eastAsia" w:ascii="仿宋_GB2312" w:eastAsia="仿宋_GB2312"/>
          <w:sz w:val="24"/>
          <w:szCs w:val="24"/>
        </w:rPr>
        <w:t>单号：</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0"/>
        <w:gridCol w:w="1420"/>
        <w:gridCol w:w="1420"/>
        <w:gridCol w:w="1420"/>
        <w:gridCol w:w="1421"/>
        <w:gridCol w:w="14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1420" w:type="dxa"/>
            <w:vAlign w:val="center"/>
          </w:tcPr>
          <w:p>
            <w:pPr>
              <w:jc w:val="center"/>
              <w:rPr>
                <w:rFonts w:ascii="宋体" w:hAnsi="宋体" w:eastAsia="宋体" w:cs="Times New Roman"/>
                <w:kern w:val="0"/>
                <w:sz w:val="18"/>
                <w:szCs w:val="18"/>
              </w:rPr>
            </w:pPr>
            <w:r>
              <w:rPr>
                <w:rFonts w:hint="eastAsia" w:ascii="宋体" w:hAnsi="宋体" w:eastAsia="宋体" w:cs="Times New Roman"/>
                <w:kern w:val="0"/>
                <w:sz w:val="18"/>
                <w:szCs w:val="18"/>
              </w:rPr>
              <w:t>资产编号</w:t>
            </w:r>
          </w:p>
        </w:tc>
        <w:tc>
          <w:tcPr>
            <w:tcW w:w="1420" w:type="dxa"/>
            <w:vAlign w:val="center"/>
          </w:tcPr>
          <w:p>
            <w:pPr>
              <w:jc w:val="center"/>
              <w:rPr>
                <w:rFonts w:ascii="宋体" w:hAnsi="宋体" w:eastAsia="宋体" w:cs="Times New Roman"/>
                <w:kern w:val="0"/>
                <w:sz w:val="18"/>
                <w:szCs w:val="18"/>
              </w:rPr>
            </w:pPr>
          </w:p>
        </w:tc>
        <w:tc>
          <w:tcPr>
            <w:tcW w:w="1420" w:type="dxa"/>
            <w:vAlign w:val="center"/>
          </w:tcPr>
          <w:p>
            <w:pPr>
              <w:jc w:val="center"/>
              <w:rPr>
                <w:rFonts w:ascii="宋体" w:hAnsi="宋体" w:eastAsia="宋体" w:cs="Times New Roman"/>
                <w:kern w:val="0"/>
                <w:sz w:val="18"/>
                <w:szCs w:val="18"/>
              </w:rPr>
            </w:pPr>
            <w:r>
              <w:rPr>
                <w:rFonts w:hint="eastAsia" w:ascii="宋体" w:hAnsi="宋体" w:eastAsia="宋体" w:cs="Times New Roman"/>
                <w:kern w:val="0"/>
                <w:sz w:val="18"/>
                <w:szCs w:val="18"/>
              </w:rPr>
              <w:t>资产名称</w:t>
            </w:r>
          </w:p>
        </w:tc>
        <w:tc>
          <w:tcPr>
            <w:tcW w:w="1420" w:type="dxa"/>
            <w:vAlign w:val="center"/>
          </w:tcPr>
          <w:p>
            <w:pPr>
              <w:jc w:val="center"/>
              <w:rPr>
                <w:rFonts w:ascii="宋体" w:hAnsi="宋体" w:eastAsia="宋体" w:cs="Times New Roman"/>
                <w:kern w:val="0"/>
                <w:sz w:val="18"/>
                <w:szCs w:val="18"/>
              </w:rPr>
            </w:pPr>
          </w:p>
        </w:tc>
        <w:tc>
          <w:tcPr>
            <w:tcW w:w="1421" w:type="dxa"/>
            <w:vAlign w:val="center"/>
          </w:tcPr>
          <w:p>
            <w:pPr>
              <w:jc w:val="center"/>
              <w:rPr>
                <w:rFonts w:ascii="宋体" w:hAnsi="宋体" w:eastAsia="宋体" w:cs="Times New Roman"/>
                <w:kern w:val="0"/>
                <w:sz w:val="18"/>
                <w:szCs w:val="18"/>
              </w:rPr>
            </w:pPr>
            <w:r>
              <w:rPr>
                <w:rFonts w:hint="eastAsia" w:ascii="宋体" w:hAnsi="宋体" w:eastAsia="宋体" w:cs="Times New Roman"/>
                <w:kern w:val="0"/>
                <w:sz w:val="18"/>
                <w:szCs w:val="18"/>
              </w:rPr>
              <w:t>规格型号</w:t>
            </w:r>
          </w:p>
        </w:tc>
        <w:tc>
          <w:tcPr>
            <w:tcW w:w="1421" w:type="dxa"/>
            <w:vAlign w:val="center"/>
          </w:tcPr>
          <w:p>
            <w:pPr>
              <w:jc w:val="center"/>
              <w:rPr>
                <w:rFonts w:ascii="宋体" w:hAnsi="宋体" w:eastAsia="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420" w:type="dxa"/>
            <w:vAlign w:val="center"/>
          </w:tcPr>
          <w:p>
            <w:pPr>
              <w:jc w:val="center"/>
              <w:rPr>
                <w:rFonts w:ascii="宋体" w:hAnsi="宋体" w:eastAsia="宋体" w:cs="Times New Roman"/>
                <w:kern w:val="0"/>
                <w:sz w:val="18"/>
                <w:szCs w:val="18"/>
              </w:rPr>
            </w:pPr>
            <w:r>
              <w:rPr>
                <w:rFonts w:hint="eastAsia" w:ascii="宋体" w:hAnsi="宋体" w:eastAsia="宋体" w:cs="Times New Roman"/>
                <w:kern w:val="0"/>
                <w:sz w:val="18"/>
                <w:szCs w:val="18"/>
              </w:rPr>
              <w:t>资产类别</w:t>
            </w:r>
          </w:p>
        </w:tc>
        <w:tc>
          <w:tcPr>
            <w:tcW w:w="1420" w:type="dxa"/>
            <w:vAlign w:val="center"/>
          </w:tcPr>
          <w:p>
            <w:pPr>
              <w:jc w:val="center"/>
              <w:rPr>
                <w:rFonts w:ascii="宋体" w:hAnsi="宋体" w:eastAsia="宋体" w:cs="Times New Roman"/>
                <w:kern w:val="0"/>
                <w:sz w:val="18"/>
                <w:szCs w:val="18"/>
              </w:rPr>
            </w:pPr>
          </w:p>
        </w:tc>
        <w:tc>
          <w:tcPr>
            <w:tcW w:w="1420" w:type="dxa"/>
            <w:vAlign w:val="center"/>
          </w:tcPr>
          <w:p>
            <w:pPr>
              <w:jc w:val="center"/>
              <w:rPr>
                <w:rFonts w:ascii="宋体" w:hAnsi="宋体" w:eastAsia="宋体" w:cs="Times New Roman"/>
                <w:kern w:val="0"/>
                <w:sz w:val="18"/>
                <w:szCs w:val="18"/>
              </w:rPr>
            </w:pPr>
            <w:r>
              <w:rPr>
                <w:rFonts w:ascii="宋体" w:hAnsi="宋体" w:eastAsia="宋体" w:cs="Arial"/>
                <w:color w:val="333333"/>
                <w:kern w:val="0"/>
                <w:sz w:val="18"/>
                <w:szCs w:val="18"/>
              </w:rPr>
              <w:t>购置日期</w:t>
            </w:r>
          </w:p>
        </w:tc>
        <w:tc>
          <w:tcPr>
            <w:tcW w:w="1420" w:type="dxa"/>
            <w:vAlign w:val="center"/>
          </w:tcPr>
          <w:p>
            <w:pPr>
              <w:jc w:val="center"/>
              <w:rPr>
                <w:rFonts w:ascii="宋体" w:hAnsi="宋体" w:eastAsia="宋体" w:cs="Times New Roman"/>
                <w:kern w:val="0"/>
                <w:sz w:val="18"/>
                <w:szCs w:val="18"/>
              </w:rPr>
            </w:pPr>
          </w:p>
        </w:tc>
        <w:tc>
          <w:tcPr>
            <w:tcW w:w="1421" w:type="dxa"/>
            <w:vAlign w:val="center"/>
          </w:tcPr>
          <w:p>
            <w:pPr>
              <w:jc w:val="center"/>
              <w:rPr>
                <w:rFonts w:ascii="宋体" w:hAnsi="宋体" w:eastAsia="宋体" w:cs="Times New Roman"/>
                <w:kern w:val="0"/>
                <w:sz w:val="18"/>
                <w:szCs w:val="18"/>
              </w:rPr>
            </w:pPr>
            <w:r>
              <w:rPr>
                <w:rFonts w:hint="eastAsia" w:ascii="宋体" w:hAnsi="宋体" w:eastAsia="宋体" w:cs="Times New Roman"/>
                <w:kern w:val="0"/>
                <w:sz w:val="18"/>
                <w:szCs w:val="18"/>
              </w:rPr>
              <w:t>计量单位</w:t>
            </w:r>
          </w:p>
        </w:tc>
        <w:tc>
          <w:tcPr>
            <w:tcW w:w="1421" w:type="dxa"/>
            <w:vAlign w:val="center"/>
          </w:tcPr>
          <w:p>
            <w:pPr>
              <w:jc w:val="center"/>
              <w:rPr>
                <w:rFonts w:ascii="宋体" w:hAnsi="宋体" w:eastAsia="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420" w:type="dxa"/>
            <w:vAlign w:val="center"/>
          </w:tcPr>
          <w:p>
            <w:pPr>
              <w:jc w:val="center"/>
              <w:rPr>
                <w:rFonts w:ascii="宋体" w:hAnsi="宋体" w:eastAsia="宋体" w:cs="Times New Roman"/>
                <w:kern w:val="0"/>
                <w:sz w:val="18"/>
                <w:szCs w:val="18"/>
              </w:rPr>
            </w:pPr>
            <w:r>
              <w:rPr>
                <w:rFonts w:hint="eastAsia" w:ascii="宋体" w:hAnsi="宋体" w:eastAsia="宋体" w:cs="Times New Roman"/>
                <w:kern w:val="0"/>
                <w:sz w:val="18"/>
                <w:szCs w:val="18"/>
              </w:rPr>
              <w:t>数量</w:t>
            </w:r>
          </w:p>
        </w:tc>
        <w:tc>
          <w:tcPr>
            <w:tcW w:w="1420" w:type="dxa"/>
            <w:vAlign w:val="center"/>
          </w:tcPr>
          <w:p>
            <w:pPr>
              <w:jc w:val="center"/>
              <w:rPr>
                <w:rFonts w:ascii="宋体" w:hAnsi="宋体" w:eastAsia="宋体" w:cs="Times New Roman"/>
                <w:kern w:val="0"/>
                <w:sz w:val="18"/>
                <w:szCs w:val="18"/>
              </w:rPr>
            </w:pPr>
          </w:p>
        </w:tc>
        <w:tc>
          <w:tcPr>
            <w:tcW w:w="1420" w:type="dxa"/>
            <w:vAlign w:val="center"/>
          </w:tcPr>
          <w:p>
            <w:pPr>
              <w:jc w:val="center"/>
              <w:rPr>
                <w:rFonts w:ascii="宋体" w:hAnsi="宋体" w:eastAsia="宋体" w:cs="Times New Roman"/>
                <w:kern w:val="0"/>
                <w:sz w:val="18"/>
                <w:szCs w:val="18"/>
              </w:rPr>
            </w:pPr>
            <w:r>
              <w:rPr>
                <w:rFonts w:hint="eastAsia" w:ascii="宋体" w:hAnsi="宋体" w:eastAsia="宋体" w:cs="Times New Roman"/>
                <w:kern w:val="0"/>
                <w:sz w:val="18"/>
                <w:szCs w:val="18"/>
              </w:rPr>
              <w:t>单价</w:t>
            </w:r>
          </w:p>
        </w:tc>
        <w:tc>
          <w:tcPr>
            <w:tcW w:w="1420" w:type="dxa"/>
            <w:vAlign w:val="center"/>
          </w:tcPr>
          <w:p>
            <w:pPr>
              <w:jc w:val="center"/>
              <w:rPr>
                <w:rFonts w:ascii="宋体" w:hAnsi="宋体" w:eastAsia="宋体" w:cs="Times New Roman"/>
                <w:kern w:val="0"/>
                <w:sz w:val="18"/>
                <w:szCs w:val="18"/>
              </w:rPr>
            </w:pPr>
          </w:p>
        </w:tc>
        <w:tc>
          <w:tcPr>
            <w:tcW w:w="1421" w:type="dxa"/>
            <w:vAlign w:val="center"/>
          </w:tcPr>
          <w:p>
            <w:pPr>
              <w:jc w:val="center"/>
              <w:rPr>
                <w:rFonts w:ascii="宋体" w:hAnsi="宋体" w:eastAsia="宋体" w:cs="Times New Roman"/>
                <w:kern w:val="0"/>
                <w:sz w:val="18"/>
                <w:szCs w:val="18"/>
              </w:rPr>
            </w:pPr>
            <w:r>
              <w:rPr>
                <w:rFonts w:hint="eastAsia" w:ascii="宋体" w:hAnsi="宋体" w:eastAsia="宋体" w:cs="Times New Roman"/>
                <w:kern w:val="0"/>
                <w:sz w:val="18"/>
                <w:szCs w:val="18"/>
              </w:rPr>
              <w:t>金额</w:t>
            </w:r>
          </w:p>
        </w:tc>
        <w:tc>
          <w:tcPr>
            <w:tcW w:w="1421" w:type="dxa"/>
            <w:vAlign w:val="center"/>
          </w:tcPr>
          <w:p>
            <w:pPr>
              <w:jc w:val="center"/>
              <w:rPr>
                <w:rFonts w:ascii="宋体" w:hAnsi="宋体" w:eastAsia="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1420" w:type="dxa"/>
            <w:vAlign w:val="center"/>
          </w:tcPr>
          <w:p>
            <w:pPr>
              <w:jc w:val="center"/>
              <w:rPr>
                <w:rFonts w:ascii="宋体" w:hAnsi="宋体" w:eastAsia="宋体" w:cs="Times New Roman"/>
                <w:kern w:val="0"/>
                <w:sz w:val="18"/>
                <w:szCs w:val="18"/>
              </w:rPr>
            </w:pPr>
            <w:r>
              <w:rPr>
                <w:rFonts w:hint="eastAsia" w:ascii="宋体" w:hAnsi="宋体" w:eastAsia="宋体" w:cs="Times New Roman"/>
                <w:kern w:val="0"/>
                <w:sz w:val="18"/>
                <w:szCs w:val="18"/>
              </w:rPr>
              <w:t>生产厂家</w:t>
            </w:r>
          </w:p>
        </w:tc>
        <w:tc>
          <w:tcPr>
            <w:tcW w:w="4260" w:type="dxa"/>
            <w:gridSpan w:val="3"/>
            <w:vAlign w:val="center"/>
          </w:tcPr>
          <w:p>
            <w:pPr>
              <w:jc w:val="center"/>
              <w:rPr>
                <w:rFonts w:ascii="宋体" w:hAnsi="宋体" w:eastAsia="宋体" w:cs="Times New Roman"/>
                <w:kern w:val="0"/>
                <w:sz w:val="18"/>
                <w:szCs w:val="18"/>
              </w:rPr>
            </w:pPr>
          </w:p>
        </w:tc>
        <w:tc>
          <w:tcPr>
            <w:tcW w:w="1421" w:type="dxa"/>
            <w:vAlign w:val="center"/>
          </w:tcPr>
          <w:p>
            <w:pPr>
              <w:jc w:val="center"/>
              <w:rPr>
                <w:rFonts w:ascii="宋体" w:hAnsi="宋体" w:eastAsia="宋体" w:cs="Times New Roman"/>
                <w:kern w:val="0"/>
                <w:sz w:val="18"/>
                <w:szCs w:val="18"/>
              </w:rPr>
            </w:pPr>
            <w:r>
              <w:rPr>
                <w:rFonts w:hint="eastAsia" w:ascii="宋体" w:hAnsi="宋体" w:eastAsia="宋体" w:cs="Arial"/>
                <w:color w:val="333333"/>
                <w:kern w:val="0"/>
                <w:sz w:val="18"/>
                <w:szCs w:val="18"/>
              </w:rPr>
              <w:t>安装地点</w:t>
            </w:r>
          </w:p>
        </w:tc>
        <w:tc>
          <w:tcPr>
            <w:tcW w:w="1421" w:type="dxa"/>
            <w:vAlign w:val="center"/>
          </w:tcPr>
          <w:p>
            <w:pPr>
              <w:jc w:val="center"/>
              <w:rPr>
                <w:rFonts w:ascii="宋体" w:hAnsi="宋体" w:eastAsia="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420" w:type="dxa"/>
            <w:vAlign w:val="center"/>
          </w:tcPr>
          <w:p>
            <w:pPr>
              <w:jc w:val="center"/>
              <w:rPr>
                <w:rFonts w:ascii="宋体" w:hAnsi="宋体" w:eastAsia="宋体" w:cs="Times New Roman"/>
                <w:kern w:val="0"/>
                <w:sz w:val="18"/>
                <w:szCs w:val="18"/>
              </w:rPr>
            </w:pPr>
            <w:r>
              <w:rPr>
                <w:rFonts w:hint="eastAsia" w:ascii="宋体" w:hAnsi="宋体" w:eastAsia="宋体" w:cs="Times New Roman"/>
                <w:kern w:val="0"/>
                <w:sz w:val="18"/>
                <w:szCs w:val="18"/>
              </w:rPr>
              <w:t>附件情况</w:t>
            </w:r>
          </w:p>
        </w:tc>
        <w:tc>
          <w:tcPr>
            <w:tcW w:w="7102" w:type="dxa"/>
            <w:gridSpan w:val="5"/>
            <w:vAlign w:val="center"/>
          </w:tcPr>
          <w:p>
            <w:pPr>
              <w:jc w:val="center"/>
              <w:rPr>
                <w:rFonts w:ascii="宋体" w:hAnsi="宋体" w:eastAsia="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5" w:hRule="atLeast"/>
        </w:trPr>
        <w:tc>
          <w:tcPr>
            <w:tcW w:w="1420" w:type="dxa"/>
            <w:vAlign w:val="center"/>
          </w:tcPr>
          <w:p>
            <w:pPr>
              <w:jc w:val="center"/>
              <w:rPr>
                <w:rFonts w:ascii="宋体" w:hAnsi="宋体" w:eastAsia="宋体" w:cs="Times New Roman"/>
                <w:kern w:val="0"/>
                <w:sz w:val="18"/>
                <w:szCs w:val="18"/>
              </w:rPr>
            </w:pPr>
            <w:r>
              <w:rPr>
                <w:rFonts w:hint="eastAsia" w:ascii="宋体" w:hAnsi="宋体" w:eastAsia="宋体" w:cs="Times New Roman"/>
                <w:kern w:val="0"/>
                <w:sz w:val="18"/>
                <w:szCs w:val="18"/>
              </w:rPr>
              <w:t>验收情况</w:t>
            </w:r>
          </w:p>
        </w:tc>
        <w:tc>
          <w:tcPr>
            <w:tcW w:w="7102" w:type="dxa"/>
            <w:gridSpan w:val="5"/>
            <w:vAlign w:val="center"/>
          </w:tcPr>
          <w:p>
            <w:pPr>
              <w:jc w:val="left"/>
              <w:rPr>
                <w:rFonts w:ascii="宋体" w:hAnsi="宋体" w:eastAsia="宋体" w:cs="Times New Roman"/>
                <w:kern w:val="0"/>
                <w:sz w:val="18"/>
                <w:szCs w:val="18"/>
              </w:rPr>
            </w:pPr>
            <w:r>
              <w:rPr>
                <w:rFonts w:hint="eastAsia" w:ascii="宋体" w:hAnsi="宋体" w:eastAsia="宋体" w:cs="Times New Roman"/>
                <w:kern w:val="0"/>
                <w:sz w:val="18"/>
                <w:szCs w:val="18"/>
              </w:rPr>
              <w:t>验收意见</w:t>
            </w:r>
          </w:p>
          <w:p>
            <w:pPr>
              <w:jc w:val="left"/>
              <w:rPr>
                <w:rFonts w:ascii="宋体" w:hAnsi="宋体" w:eastAsia="宋体" w:cs="Times New Roman"/>
                <w:kern w:val="0"/>
                <w:sz w:val="18"/>
                <w:szCs w:val="18"/>
              </w:rPr>
            </w:pPr>
          </w:p>
          <w:p>
            <w:pPr>
              <w:jc w:val="left"/>
              <w:rPr>
                <w:rFonts w:ascii="宋体" w:hAnsi="宋体" w:eastAsia="宋体" w:cs="Times New Roman"/>
                <w:kern w:val="0"/>
                <w:sz w:val="18"/>
                <w:szCs w:val="18"/>
              </w:rPr>
            </w:pPr>
          </w:p>
          <w:p>
            <w:pPr>
              <w:jc w:val="left"/>
              <w:rPr>
                <w:rFonts w:ascii="宋体" w:hAnsi="宋体" w:eastAsia="宋体" w:cs="Times New Roman"/>
                <w:kern w:val="0"/>
                <w:sz w:val="18"/>
                <w:szCs w:val="18"/>
              </w:rPr>
            </w:pPr>
          </w:p>
          <w:p>
            <w:pPr>
              <w:jc w:val="left"/>
              <w:rPr>
                <w:rFonts w:ascii="宋体" w:hAnsi="宋体" w:eastAsia="宋体" w:cs="Times New Roman"/>
                <w:kern w:val="0"/>
                <w:sz w:val="18"/>
                <w:szCs w:val="18"/>
              </w:rPr>
            </w:pPr>
          </w:p>
          <w:p>
            <w:pPr>
              <w:jc w:val="left"/>
              <w:rPr>
                <w:rFonts w:ascii="宋体" w:hAnsi="宋体" w:eastAsia="宋体" w:cs="Times New Roman"/>
                <w:kern w:val="0"/>
                <w:sz w:val="18"/>
                <w:szCs w:val="18"/>
              </w:rPr>
            </w:pPr>
            <w:r>
              <w:rPr>
                <w:rFonts w:hint="eastAsia" w:ascii="宋体" w:hAnsi="宋体" w:eastAsia="宋体" w:cs="Times New Roman"/>
                <w:kern w:val="0"/>
                <w:sz w:val="18"/>
                <w:szCs w:val="18"/>
              </w:rPr>
              <w:t>参加验收人员：</w:t>
            </w:r>
          </w:p>
          <w:p>
            <w:pPr>
              <w:jc w:val="center"/>
              <w:rPr>
                <w:rFonts w:ascii="宋体" w:hAnsi="宋体" w:eastAsia="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420" w:type="dxa"/>
            <w:vAlign w:val="center"/>
          </w:tcPr>
          <w:p>
            <w:pPr>
              <w:jc w:val="center"/>
              <w:rPr>
                <w:rFonts w:ascii="宋体" w:hAnsi="宋体" w:eastAsia="宋体" w:cs="Times New Roman"/>
                <w:kern w:val="0"/>
                <w:sz w:val="18"/>
                <w:szCs w:val="18"/>
              </w:rPr>
            </w:pPr>
            <w:r>
              <w:rPr>
                <w:rFonts w:hint="eastAsia" w:ascii="宋体" w:hAnsi="宋体" w:eastAsia="宋体" w:cs="Times New Roman"/>
                <w:kern w:val="0"/>
                <w:sz w:val="18"/>
                <w:szCs w:val="18"/>
              </w:rPr>
              <w:t>设备管理员</w:t>
            </w:r>
          </w:p>
        </w:tc>
        <w:tc>
          <w:tcPr>
            <w:tcW w:w="1420" w:type="dxa"/>
            <w:vAlign w:val="center"/>
          </w:tcPr>
          <w:p>
            <w:pPr>
              <w:jc w:val="center"/>
              <w:rPr>
                <w:rFonts w:ascii="宋体" w:hAnsi="宋体" w:eastAsia="宋体" w:cs="Times New Roman"/>
                <w:kern w:val="0"/>
                <w:sz w:val="18"/>
                <w:szCs w:val="18"/>
              </w:rPr>
            </w:pPr>
          </w:p>
        </w:tc>
        <w:tc>
          <w:tcPr>
            <w:tcW w:w="1420" w:type="dxa"/>
            <w:vAlign w:val="center"/>
          </w:tcPr>
          <w:p>
            <w:pPr>
              <w:jc w:val="center"/>
              <w:rPr>
                <w:rFonts w:ascii="宋体" w:hAnsi="宋体" w:eastAsia="宋体" w:cs="Times New Roman"/>
                <w:kern w:val="0"/>
                <w:sz w:val="18"/>
                <w:szCs w:val="18"/>
              </w:rPr>
            </w:pPr>
            <w:r>
              <w:rPr>
                <w:rFonts w:hint="eastAsia" w:ascii="宋体" w:hAnsi="宋体" w:eastAsia="宋体" w:cs="Times New Roman"/>
                <w:kern w:val="0"/>
                <w:sz w:val="18"/>
                <w:szCs w:val="18"/>
              </w:rPr>
              <w:t>采购人员</w:t>
            </w:r>
          </w:p>
        </w:tc>
        <w:tc>
          <w:tcPr>
            <w:tcW w:w="1420" w:type="dxa"/>
            <w:vAlign w:val="center"/>
          </w:tcPr>
          <w:p>
            <w:pPr>
              <w:jc w:val="center"/>
              <w:rPr>
                <w:rFonts w:ascii="宋体" w:hAnsi="宋体" w:eastAsia="宋体" w:cs="Times New Roman"/>
                <w:kern w:val="0"/>
                <w:sz w:val="18"/>
                <w:szCs w:val="18"/>
              </w:rPr>
            </w:pPr>
          </w:p>
        </w:tc>
        <w:tc>
          <w:tcPr>
            <w:tcW w:w="1421" w:type="dxa"/>
            <w:vAlign w:val="center"/>
          </w:tcPr>
          <w:p>
            <w:pPr>
              <w:jc w:val="center"/>
              <w:rPr>
                <w:rFonts w:ascii="宋体" w:hAnsi="宋体" w:eastAsia="宋体" w:cs="Times New Roman"/>
                <w:kern w:val="0"/>
                <w:sz w:val="18"/>
                <w:szCs w:val="18"/>
              </w:rPr>
            </w:pPr>
            <w:r>
              <w:rPr>
                <w:rFonts w:hint="eastAsia" w:ascii="宋体" w:hAnsi="宋体" w:eastAsia="宋体" w:cs="Times New Roman"/>
                <w:kern w:val="0"/>
                <w:sz w:val="18"/>
                <w:szCs w:val="18"/>
              </w:rPr>
              <w:t>保管</w:t>
            </w:r>
          </w:p>
        </w:tc>
        <w:tc>
          <w:tcPr>
            <w:tcW w:w="1421" w:type="dxa"/>
            <w:vAlign w:val="center"/>
          </w:tcPr>
          <w:p>
            <w:pPr>
              <w:jc w:val="center"/>
              <w:rPr>
                <w:rFonts w:ascii="宋体" w:hAnsi="宋体" w:eastAsia="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5" w:hRule="atLeast"/>
        </w:trPr>
        <w:tc>
          <w:tcPr>
            <w:tcW w:w="1420" w:type="dxa"/>
            <w:vAlign w:val="center"/>
          </w:tcPr>
          <w:p>
            <w:pPr>
              <w:jc w:val="center"/>
              <w:rPr>
                <w:rFonts w:ascii="宋体" w:hAnsi="宋体" w:eastAsia="宋体" w:cs="Times New Roman"/>
                <w:kern w:val="0"/>
                <w:sz w:val="18"/>
                <w:szCs w:val="18"/>
              </w:rPr>
            </w:pPr>
            <w:r>
              <w:rPr>
                <w:rFonts w:hint="eastAsia" w:ascii="宋体" w:hAnsi="宋体" w:eastAsia="宋体" w:cs="Times New Roman"/>
                <w:kern w:val="0"/>
                <w:sz w:val="18"/>
                <w:szCs w:val="18"/>
              </w:rPr>
              <w:t>采购部门</w:t>
            </w:r>
          </w:p>
        </w:tc>
        <w:tc>
          <w:tcPr>
            <w:tcW w:w="2840" w:type="dxa"/>
            <w:gridSpan w:val="2"/>
            <w:vAlign w:val="bottom"/>
          </w:tcPr>
          <w:p>
            <w:pPr>
              <w:rPr>
                <w:rFonts w:ascii="Times New Roman" w:hAnsi="Times New Roman" w:eastAsia="宋体" w:cs="Times New Roman"/>
                <w:kern w:val="0"/>
                <w:sz w:val="20"/>
                <w:szCs w:val="20"/>
              </w:rPr>
            </w:pPr>
            <w:r>
              <w:rPr>
                <w:rFonts w:hint="eastAsia" w:ascii="宋体" w:hAnsi="宋体" w:eastAsia="宋体" w:cs="Times New Roman"/>
                <w:kern w:val="0"/>
                <w:sz w:val="18"/>
                <w:szCs w:val="18"/>
              </w:rPr>
              <w:t>负责人：</w:t>
            </w:r>
          </w:p>
        </w:tc>
        <w:tc>
          <w:tcPr>
            <w:tcW w:w="1420" w:type="dxa"/>
            <w:vAlign w:val="center"/>
          </w:tcPr>
          <w:p>
            <w:pPr>
              <w:jc w:val="center"/>
              <w:rPr>
                <w:rFonts w:ascii="Times New Roman" w:hAnsi="Times New Roman" w:eastAsia="宋体" w:cs="Times New Roman"/>
                <w:kern w:val="0"/>
                <w:sz w:val="20"/>
                <w:szCs w:val="20"/>
              </w:rPr>
            </w:pPr>
            <w:r>
              <w:rPr>
                <w:rFonts w:hint="eastAsia" w:ascii="宋体" w:hAnsi="宋体" w:eastAsia="宋体" w:cs="Times New Roman"/>
                <w:kern w:val="0"/>
                <w:sz w:val="18"/>
                <w:szCs w:val="18"/>
              </w:rPr>
              <w:t>使用部门</w:t>
            </w:r>
          </w:p>
        </w:tc>
        <w:tc>
          <w:tcPr>
            <w:tcW w:w="2842" w:type="dxa"/>
            <w:gridSpan w:val="2"/>
            <w:vAlign w:val="bottom"/>
          </w:tcPr>
          <w:p>
            <w:pPr>
              <w:rPr>
                <w:rFonts w:ascii="宋体" w:hAnsi="宋体" w:eastAsia="宋体" w:cs="Times New Roman"/>
                <w:kern w:val="0"/>
                <w:sz w:val="18"/>
                <w:szCs w:val="18"/>
              </w:rPr>
            </w:pPr>
            <w:r>
              <w:rPr>
                <w:rFonts w:hint="eastAsia" w:ascii="宋体" w:hAnsi="宋体" w:eastAsia="宋体" w:cs="Times New Roman"/>
                <w:kern w:val="0"/>
                <w:sz w:val="18"/>
                <w:szCs w:val="18"/>
              </w:rPr>
              <w:t>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5" w:hRule="atLeast"/>
        </w:trPr>
        <w:tc>
          <w:tcPr>
            <w:tcW w:w="1420" w:type="dxa"/>
            <w:vAlign w:val="center"/>
          </w:tcPr>
          <w:p>
            <w:pPr>
              <w:jc w:val="center"/>
              <w:rPr>
                <w:rFonts w:ascii="宋体" w:hAnsi="宋体" w:eastAsia="宋体" w:cs="Times New Roman"/>
                <w:kern w:val="0"/>
                <w:sz w:val="18"/>
                <w:szCs w:val="18"/>
              </w:rPr>
            </w:pPr>
            <w:r>
              <w:rPr>
                <w:rFonts w:hint="eastAsia" w:ascii="宋体" w:hAnsi="宋体" w:eastAsia="宋体" w:cs="Times New Roman"/>
                <w:kern w:val="0"/>
                <w:sz w:val="18"/>
                <w:szCs w:val="18"/>
              </w:rPr>
              <w:t>综合管理部</w:t>
            </w:r>
          </w:p>
        </w:tc>
        <w:tc>
          <w:tcPr>
            <w:tcW w:w="2840" w:type="dxa"/>
            <w:gridSpan w:val="2"/>
            <w:vAlign w:val="bottom"/>
          </w:tcPr>
          <w:p>
            <w:pPr>
              <w:jc w:val="left"/>
              <w:rPr>
                <w:rFonts w:ascii="宋体" w:hAnsi="宋体" w:eastAsia="宋体" w:cs="Times New Roman"/>
                <w:kern w:val="0"/>
                <w:sz w:val="18"/>
                <w:szCs w:val="18"/>
              </w:rPr>
            </w:pPr>
            <w:r>
              <w:rPr>
                <w:rFonts w:hint="eastAsia" w:ascii="宋体" w:hAnsi="宋体" w:eastAsia="宋体" w:cs="Times New Roman"/>
                <w:kern w:val="0"/>
                <w:sz w:val="18"/>
                <w:szCs w:val="18"/>
              </w:rPr>
              <w:t>负责人：</w:t>
            </w:r>
          </w:p>
        </w:tc>
        <w:tc>
          <w:tcPr>
            <w:tcW w:w="1420" w:type="dxa"/>
            <w:vAlign w:val="center"/>
          </w:tcPr>
          <w:p>
            <w:pPr>
              <w:jc w:val="center"/>
              <w:rPr>
                <w:rFonts w:ascii="宋体" w:hAnsi="宋体" w:eastAsia="宋体" w:cs="Times New Roman"/>
                <w:kern w:val="0"/>
                <w:sz w:val="18"/>
                <w:szCs w:val="18"/>
              </w:rPr>
            </w:pPr>
            <w:r>
              <w:rPr>
                <w:rFonts w:hint="eastAsia" w:ascii="宋体" w:hAnsi="宋体" w:eastAsia="宋体" w:cs="Times New Roman"/>
                <w:kern w:val="0"/>
                <w:sz w:val="18"/>
                <w:szCs w:val="18"/>
              </w:rPr>
              <w:t>财务部</w:t>
            </w:r>
          </w:p>
        </w:tc>
        <w:tc>
          <w:tcPr>
            <w:tcW w:w="2842" w:type="dxa"/>
            <w:gridSpan w:val="2"/>
            <w:vAlign w:val="bottom"/>
          </w:tcPr>
          <w:p>
            <w:pPr>
              <w:rPr>
                <w:rFonts w:ascii="宋体" w:hAnsi="宋体" w:eastAsia="宋体" w:cs="Times New Roman"/>
                <w:kern w:val="0"/>
                <w:sz w:val="18"/>
                <w:szCs w:val="18"/>
              </w:rPr>
            </w:pPr>
            <w:r>
              <w:rPr>
                <w:rFonts w:hint="eastAsia" w:ascii="宋体" w:hAnsi="宋体" w:eastAsia="宋体" w:cs="Times New Roman"/>
                <w:kern w:val="0"/>
                <w:sz w:val="18"/>
                <w:szCs w:val="18"/>
              </w:rPr>
              <w:t>负责人：</w:t>
            </w:r>
          </w:p>
        </w:tc>
      </w:tr>
    </w:tbl>
    <w:p>
      <w:pPr>
        <w:jc w:val="center"/>
        <w:rPr>
          <w:rFonts w:asciiTheme="minorEastAsia" w:hAnsiTheme="minorEastAsia"/>
          <w:szCs w:val="21"/>
        </w:rPr>
      </w:pPr>
    </w:p>
    <w:p>
      <w:pPr>
        <w:rPr>
          <w:rFonts w:asciiTheme="minorEastAsia" w:hAnsiTheme="minorEastAsia"/>
          <w:szCs w:val="21"/>
        </w:rPr>
      </w:pPr>
    </w:p>
    <w:p>
      <w:pPr>
        <w:rPr>
          <w:rFonts w:asciiTheme="minorEastAsia" w:hAnsiTheme="minorEastAsia"/>
          <w:szCs w:val="21"/>
        </w:rPr>
      </w:pPr>
    </w:p>
    <w:p>
      <w:pPr>
        <w:rPr>
          <w:rFonts w:asciiTheme="minorEastAsia" w:hAnsiTheme="minorEastAsia"/>
          <w:szCs w:val="21"/>
        </w:rPr>
      </w:pPr>
    </w:p>
    <w:p>
      <w:pPr>
        <w:rPr>
          <w:rFonts w:asciiTheme="minorEastAsia" w:hAnsiTheme="minorEastAsia"/>
          <w:szCs w:val="21"/>
        </w:rPr>
      </w:pPr>
    </w:p>
    <w:p>
      <w:pPr>
        <w:rPr>
          <w:rFonts w:asciiTheme="minorEastAsia" w:hAnsiTheme="minorEastAsia"/>
          <w:szCs w:val="21"/>
        </w:rPr>
      </w:pPr>
    </w:p>
    <w:p>
      <w:pPr>
        <w:rPr>
          <w:rFonts w:asciiTheme="minorEastAsia" w:hAnsiTheme="minorEastAsia"/>
          <w:szCs w:val="21"/>
        </w:rPr>
      </w:pPr>
    </w:p>
    <w:p>
      <w:pPr>
        <w:tabs>
          <w:tab w:val="left" w:pos="4111"/>
          <w:tab w:val="left" w:pos="7797"/>
        </w:tabs>
        <w:rPr>
          <w:rFonts w:asciiTheme="minorEastAsia" w:hAnsiTheme="minorEastAsia"/>
          <w:szCs w:val="21"/>
        </w:rPr>
      </w:pPr>
    </w:p>
    <w:p>
      <w:pPr>
        <w:tabs>
          <w:tab w:val="left" w:pos="4111"/>
          <w:tab w:val="left" w:pos="7797"/>
        </w:tabs>
        <w:jc w:val="center"/>
        <w:rPr>
          <w:rFonts w:ascii="仿宋_GB2312" w:eastAsia="仿宋_GB2312"/>
          <w:b/>
          <w:sz w:val="30"/>
          <w:szCs w:val="30"/>
        </w:rPr>
      </w:pPr>
    </w:p>
    <w:p>
      <w:pPr>
        <w:tabs>
          <w:tab w:val="left" w:pos="4111"/>
          <w:tab w:val="left" w:pos="7797"/>
        </w:tabs>
        <w:spacing w:line="360" w:lineRule="auto"/>
        <w:rPr>
          <w:rFonts w:ascii="宋体" w:hAnsi="宋体" w:eastAsia="宋体"/>
          <w:b/>
          <w:sz w:val="44"/>
          <w:szCs w:val="44"/>
        </w:rPr>
      </w:pPr>
    </w:p>
    <w:p>
      <w:pPr>
        <w:tabs>
          <w:tab w:val="left" w:pos="4111"/>
          <w:tab w:val="left" w:pos="7797"/>
        </w:tabs>
        <w:spacing w:line="360" w:lineRule="auto"/>
        <w:rPr>
          <w:rFonts w:ascii="宋体" w:hAnsi="宋体" w:eastAsia="宋体"/>
          <w:b/>
          <w:sz w:val="44"/>
          <w:szCs w:val="44"/>
        </w:rPr>
      </w:pPr>
    </w:p>
    <w:p>
      <w:pPr>
        <w:tabs>
          <w:tab w:val="left" w:pos="4111"/>
          <w:tab w:val="left" w:pos="7797"/>
        </w:tabs>
        <w:spacing w:line="360" w:lineRule="auto"/>
        <w:jc w:val="center"/>
        <w:rPr>
          <w:rFonts w:ascii="宋体" w:hAnsi="宋体" w:eastAsia="宋体"/>
          <w:b/>
          <w:sz w:val="44"/>
          <w:szCs w:val="44"/>
        </w:rPr>
      </w:pPr>
      <w:r>
        <w:rPr>
          <w:rFonts w:hint="eastAsia" w:ascii="宋体" w:hAnsi="宋体" w:eastAsia="宋体"/>
          <w:b/>
          <w:sz w:val="44"/>
          <w:szCs w:val="44"/>
        </w:rPr>
        <w:t>固定资产内部转移单</w:t>
      </w:r>
    </w:p>
    <w:p>
      <w:pPr>
        <w:tabs>
          <w:tab w:val="left" w:pos="4111"/>
          <w:tab w:val="left" w:pos="7797"/>
        </w:tabs>
        <w:spacing w:line="360" w:lineRule="auto"/>
        <w:rPr>
          <w:rFonts w:ascii="仿宋_GB2312" w:eastAsia="仿宋_GB2312"/>
          <w:sz w:val="24"/>
          <w:szCs w:val="24"/>
        </w:rPr>
      </w:pPr>
      <w:r>
        <w:rPr>
          <w:rFonts w:hint="eastAsia" w:ascii="仿宋_GB2312" w:eastAsia="仿宋_GB2312"/>
          <w:sz w:val="24"/>
          <w:szCs w:val="24"/>
        </w:rPr>
        <w:tab/>
      </w:r>
      <w:r>
        <w:rPr>
          <w:rFonts w:hint="eastAsia" w:ascii="仿宋_GB2312" w:eastAsia="仿宋_GB2312"/>
          <w:sz w:val="24"/>
          <w:szCs w:val="24"/>
        </w:rPr>
        <w:t xml:space="preserve">     年   月   日</w:t>
      </w:r>
      <w:r>
        <w:rPr>
          <w:rFonts w:hint="eastAsia" w:ascii="仿宋_GB2312" w:eastAsia="仿宋_GB2312"/>
          <w:sz w:val="24"/>
          <w:szCs w:val="24"/>
        </w:rPr>
        <w:tab/>
      </w:r>
      <w:r>
        <w:rPr>
          <w:rFonts w:hint="eastAsia" w:ascii="仿宋_GB2312" w:eastAsia="仿宋_GB2312"/>
          <w:sz w:val="24"/>
          <w:szCs w:val="24"/>
        </w:rPr>
        <w:t>单号：</w:t>
      </w:r>
    </w:p>
    <w:tbl>
      <w:tblPr>
        <w:tblStyle w:val="19"/>
        <w:tblW w:w="99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9"/>
        <w:gridCol w:w="1275"/>
        <w:gridCol w:w="1276"/>
        <w:gridCol w:w="973"/>
        <w:gridCol w:w="728"/>
        <w:gridCol w:w="709"/>
        <w:gridCol w:w="1123"/>
        <w:gridCol w:w="1276"/>
        <w:gridCol w:w="13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259" w:type="dxa"/>
            <w:tcBorders>
              <w:bottom w:val="single" w:color="auto" w:sz="4" w:space="0"/>
            </w:tcBorders>
            <w:shd w:val="clear" w:color="auto" w:fill="auto"/>
            <w:noWrap/>
            <w:vAlign w:val="center"/>
          </w:tcPr>
          <w:p>
            <w:pPr>
              <w:widowControl/>
              <w:rPr>
                <w:rFonts w:ascii="仿宋_GB2312" w:hAnsi="宋体" w:eastAsia="仿宋_GB2312" w:cs="宋体"/>
                <w:bCs/>
                <w:kern w:val="0"/>
                <w:sz w:val="24"/>
                <w:szCs w:val="24"/>
              </w:rPr>
            </w:pPr>
            <w:r>
              <w:rPr>
                <w:rFonts w:hint="eastAsia" w:ascii="仿宋_GB2312" w:hAnsi="宋体" w:eastAsia="仿宋_GB2312" w:cs="宋体"/>
                <w:bCs/>
                <w:kern w:val="0"/>
                <w:sz w:val="24"/>
                <w:szCs w:val="24"/>
              </w:rPr>
              <w:t>转出部门</w:t>
            </w:r>
          </w:p>
        </w:tc>
        <w:tc>
          <w:tcPr>
            <w:tcW w:w="3524" w:type="dxa"/>
            <w:gridSpan w:val="3"/>
            <w:tcBorders>
              <w:bottom w:val="single" w:color="auto" w:sz="4" w:space="0"/>
            </w:tcBorders>
            <w:shd w:val="clear" w:color="auto" w:fill="auto"/>
            <w:noWrap/>
            <w:vAlign w:val="center"/>
          </w:tcPr>
          <w:p>
            <w:pPr>
              <w:widowControl/>
              <w:jc w:val="left"/>
              <w:rPr>
                <w:rFonts w:ascii="仿宋_GB2312" w:hAnsi="宋体" w:eastAsia="仿宋_GB2312" w:cs="宋体"/>
                <w:bCs/>
                <w:kern w:val="0"/>
                <w:sz w:val="24"/>
                <w:szCs w:val="24"/>
              </w:rPr>
            </w:pPr>
          </w:p>
        </w:tc>
        <w:tc>
          <w:tcPr>
            <w:tcW w:w="1437" w:type="dxa"/>
            <w:gridSpan w:val="2"/>
            <w:tcBorders>
              <w:bottom w:val="single" w:color="auto" w:sz="4" w:space="0"/>
            </w:tcBorders>
            <w:shd w:val="clear" w:color="auto" w:fill="auto"/>
            <w:noWrap/>
            <w:vAlign w:val="center"/>
          </w:tcPr>
          <w:p>
            <w:pPr>
              <w:widowControl/>
              <w:rPr>
                <w:rFonts w:ascii="仿宋_GB2312" w:hAnsi="宋体" w:eastAsia="仿宋_GB2312" w:cs="宋体"/>
                <w:bCs/>
                <w:kern w:val="0"/>
                <w:sz w:val="24"/>
                <w:szCs w:val="24"/>
              </w:rPr>
            </w:pPr>
            <w:r>
              <w:rPr>
                <w:rFonts w:hint="eastAsia" w:ascii="仿宋_GB2312" w:hAnsi="宋体" w:eastAsia="仿宋_GB2312" w:cs="宋体"/>
                <w:bCs/>
                <w:kern w:val="0"/>
                <w:sz w:val="24"/>
                <w:szCs w:val="24"/>
              </w:rPr>
              <w:t>转入部门</w:t>
            </w:r>
          </w:p>
        </w:tc>
        <w:tc>
          <w:tcPr>
            <w:tcW w:w="3751" w:type="dxa"/>
            <w:gridSpan w:val="3"/>
            <w:tcBorders>
              <w:bottom w:val="single" w:color="auto" w:sz="4" w:space="0"/>
            </w:tcBorders>
            <w:shd w:val="clear" w:color="auto" w:fill="auto"/>
            <w:vAlign w:val="center"/>
          </w:tcPr>
          <w:p>
            <w:pPr>
              <w:widowControl/>
              <w:jc w:val="left"/>
              <w:rPr>
                <w:rFonts w:ascii="仿宋_GB2312" w:hAnsi="宋体" w:eastAsia="仿宋_GB2312" w:cs="宋体"/>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259" w:type="dxa"/>
            <w:tcBorders>
              <w:bottom w:val="single" w:color="auto" w:sz="4" w:space="0"/>
            </w:tcBorders>
            <w:shd w:val="clear" w:color="auto" w:fill="auto"/>
            <w:noWrap/>
            <w:vAlign w:val="center"/>
          </w:tcPr>
          <w:p>
            <w:pPr>
              <w:widowControl/>
              <w:rPr>
                <w:rFonts w:ascii="仿宋_GB2312" w:hAnsi="宋体" w:eastAsia="仿宋_GB2312" w:cs="宋体"/>
                <w:bCs/>
                <w:kern w:val="0"/>
                <w:sz w:val="24"/>
                <w:szCs w:val="24"/>
              </w:rPr>
            </w:pPr>
            <w:r>
              <w:rPr>
                <w:rFonts w:hint="eastAsia" w:ascii="仿宋_GB2312" w:hAnsi="宋体" w:eastAsia="仿宋_GB2312" w:cs="宋体"/>
                <w:bCs/>
                <w:kern w:val="0"/>
                <w:sz w:val="24"/>
                <w:szCs w:val="24"/>
              </w:rPr>
              <w:t>原使用人</w:t>
            </w:r>
          </w:p>
        </w:tc>
        <w:tc>
          <w:tcPr>
            <w:tcW w:w="3524" w:type="dxa"/>
            <w:gridSpan w:val="3"/>
            <w:tcBorders>
              <w:bottom w:val="single" w:color="auto" w:sz="4" w:space="0"/>
            </w:tcBorders>
            <w:shd w:val="clear" w:color="auto" w:fill="auto"/>
            <w:noWrap/>
            <w:vAlign w:val="center"/>
          </w:tcPr>
          <w:p>
            <w:pPr>
              <w:widowControl/>
              <w:jc w:val="left"/>
              <w:rPr>
                <w:rFonts w:ascii="仿宋_GB2312" w:hAnsi="宋体" w:eastAsia="仿宋_GB2312" w:cs="宋体"/>
                <w:bCs/>
                <w:kern w:val="0"/>
                <w:sz w:val="24"/>
                <w:szCs w:val="24"/>
              </w:rPr>
            </w:pPr>
          </w:p>
        </w:tc>
        <w:tc>
          <w:tcPr>
            <w:tcW w:w="1437" w:type="dxa"/>
            <w:gridSpan w:val="2"/>
            <w:tcBorders>
              <w:bottom w:val="single" w:color="auto" w:sz="4" w:space="0"/>
            </w:tcBorders>
            <w:shd w:val="clear" w:color="auto" w:fill="auto"/>
            <w:noWrap/>
            <w:vAlign w:val="center"/>
          </w:tcPr>
          <w:p>
            <w:pPr>
              <w:widowControl/>
              <w:rPr>
                <w:rFonts w:ascii="仿宋_GB2312" w:hAnsi="宋体" w:eastAsia="仿宋_GB2312" w:cs="宋体"/>
                <w:bCs/>
                <w:kern w:val="0"/>
                <w:sz w:val="24"/>
                <w:szCs w:val="24"/>
              </w:rPr>
            </w:pPr>
            <w:r>
              <w:rPr>
                <w:rFonts w:hint="eastAsia" w:ascii="仿宋_GB2312" w:hAnsi="宋体" w:eastAsia="仿宋_GB2312" w:cs="宋体"/>
                <w:bCs/>
                <w:kern w:val="0"/>
                <w:sz w:val="24"/>
                <w:szCs w:val="24"/>
              </w:rPr>
              <w:t>现使用人</w:t>
            </w:r>
          </w:p>
        </w:tc>
        <w:tc>
          <w:tcPr>
            <w:tcW w:w="3751" w:type="dxa"/>
            <w:gridSpan w:val="3"/>
            <w:tcBorders>
              <w:bottom w:val="single" w:color="auto" w:sz="4" w:space="0"/>
            </w:tcBorders>
            <w:shd w:val="clear" w:color="auto" w:fill="auto"/>
            <w:vAlign w:val="center"/>
          </w:tcPr>
          <w:p>
            <w:pPr>
              <w:widowControl/>
              <w:jc w:val="left"/>
              <w:rPr>
                <w:rFonts w:ascii="仿宋_GB2312" w:hAnsi="宋体" w:eastAsia="仿宋_GB2312" w:cs="宋体"/>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1259" w:type="dxa"/>
            <w:shd w:val="clear" w:color="auto" w:fill="auto"/>
            <w:noWrap/>
            <w:vAlign w:val="center"/>
          </w:tcPr>
          <w:p>
            <w:pPr>
              <w:widowControl/>
              <w:jc w:val="center"/>
              <w:rPr>
                <w:rFonts w:ascii="仿宋_GB2312" w:hAnsi="宋体" w:eastAsia="仿宋_GB2312" w:cs="宋体"/>
                <w:bCs/>
                <w:kern w:val="0"/>
                <w:sz w:val="24"/>
                <w:szCs w:val="24"/>
              </w:rPr>
            </w:pPr>
            <w:r>
              <w:rPr>
                <w:rFonts w:hint="eastAsia" w:ascii="仿宋_GB2312" w:hAnsi="宋体" w:eastAsia="仿宋_GB2312" w:cs="宋体"/>
                <w:bCs/>
                <w:kern w:val="0"/>
                <w:sz w:val="24"/>
                <w:szCs w:val="24"/>
              </w:rPr>
              <w:t>资产编号</w:t>
            </w:r>
          </w:p>
        </w:tc>
        <w:tc>
          <w:tcPr>
            <w:tcW w:w="1275" w:type="dxa"/>
            <w:shd w:val="clear" w:color="auto" w:fill="auto"/>
            <w:noWrap/>
            <w:vAlign w:val="center"/>
          </w:tcPr>
          <w:p>
            <w:pPr>
              <w:widowControl/>
              <w:jc w:val="center"/>
              <w:rPr>
                <w:rFonts w:ascii="仿宋_GB2312" w:hAnsi="宋体" w:eastAsia="仿宋_GB2312" w:cs="宋体"/>
                <w:bCs/>
                <w:kern w:val="0"/>
                <w:sz w:val="24"/>
                <w:szCs w:val="24"/>
              </w:rPr>
            </w:pPr>
            <w:r>
              <w:rPr>
                <w:rFonts w:hint="eastAsia" w:ascii="仿宋_GB2312" w:hAnsi="宋体" w:eastAsia="仿宋_GB2312" w:cs="宋体"/>
                <w:bCs/>
                <w:kern w:val="0"/>
                <w:sz w:val="24"/>
                <w:szCs w:val="24"/>
              </w:rPr>
              <w:t>资产名称</w:t>
            </w:r>
          </w:p>
        </w:tc>
        <w:tc>
          <w:tcPr>
            <w:tcW w:w="1276" w:type="dxa"/>
            <w:shd w:val="clear" w:color="auto" w:fill="auto"/>
            <w:noWrap/>
            <w:vAlign w:val="center"/>
          </w:tcPr>
          <w:p>
            <w:pPr>
              <w:widowControl/>
              <w:jc w:val="center"/>
              <w:rPr>
                <w:rFonts w:ascii="仿宋_GB2312" w:hAnsi="宋体" w:eastAsia="仿宋_GB2312" w:cs="宋体"/>
                <w:bCs/>
                <w:kern w:val="0"/>
                <w:sz w:val="24"/>
                <w:szCs w:val="24"/>
              </w:rPr>
            </w:pPr>
            <w:r>
              <w:rPr>
                <w:rFonts w:hint="eastAsia" w:ascii="仿宋_GB2312" w:hAnsi="宋体" w:eastAsia="仿宋_GB2312" w:cs="宋体"/>
                <w:bCs/>
                <w:kern w:val="0"/>
                <w:sz w:val="24"/>
                <w:szCs w:val="24"/>
              </w:rPr>
              <w:t>规格型号</w:t>
            </w:r>
          </w:p>
        </w:tc>
        <w:tc>
          <w:tcPr>
            <w:tcW w:w="973" w:type="dxa"/>
            <w:vAlign w:val="center"/>
          </w:tcPr>
          <w:p>
            <w:pPr>
              <w:widowControl/>
              <w:ind w:left="-107" w:leftChars="-51" w:right="-136" w:rightChars="-65"/>
              <w:jc w:val="center"/>
              <w:rPr>
                <w:rFonts w:ascii="仿宋_GB2312" w:hAnsi="宋体" w:eastAsia="仿宋_GB2312" w:cs="宋体"/>
                <w:bCs/>
                <w:kern w:val="0"/>
                <w:sz w:val="24"/>
                <w:szCs w:val="24"/>
              </w:rPr>
            </w:pPr>
            <w:r>
              <w:rPr>
                <w:rFonts w:hint="eastAsia" w:ascii="仿宋_GB2312" w:hAnsi="宋体" w:eastAsia="仿宋_GB2312" w:cs="宋体"/>
                <w:bCs/>
                <w:kern w:val="0"/>
                <w:sz w:val="24"/>
                <w:szCs w:val="24"/>
              </w:rPr>
              <w:t>资产类别</w:t>
            </w:r>
          </w:p>
        </w:tc>
        <w:tc>
          <w:tcPr>
            <w:tcW w:w="728" w:type="dxa"/>
            <w:shd w:val="clear" w:color="auto" w:fill="auto"/>
            <w:noWrap/>
            <w:vAlign w:val="center"/>
          </w:tcPr>
          <w:p>
            <w:pPr>
              <w:widowControl/>
              <w:ind w:left="-107" w:leftChars="-51" w:right="-107" w:rightChars="-51"/>
              <w:jc w:val="center"/>
              <w:rPr>
                <w:rFonts w:ascii="仿宋_GB2312" w:hAnsi="宋体" w:eastAsia="仿宋_GB2312" w:cs="宋体"/>
                <w:bCs/>
                <w:kern w:val="0"/>
                <w:sz w:val="24"/>
                <w:szCs w:val="24"/>
              </w:rPr>
            </w:pPr>
            <w:r>
              <w:rPr>
                <w:rFonts w:hint="eastAsia" w:ascii="仿宋_GB2312" w:hAnsi="宋体" w:eastAsia="仿宋_GB2312" w:cs="宋体"/>
                <w:bCs/>
                <w:kern w:val="0"/>
                <w:sz w:val="24"/>
                <w:szCs w:val="24"/>
              </w:rPr>
              <w:t>单位</w:t>
            </w:r>
          </w:p>
        </w:tc>
        <w:tc>
          <w:tcPr>
            <w:tcW w:w="709" w:type="dxa"/>
            <w:shd w:val="clear" w:color="auto" w:fill="auto"/>
            <w:noWrap/>
            <w:vAlign w:val="center"/>
          </w:tcPr>
          <w:p>
            <w:pPr>
              <w:widowControl/>
              <w:ind w:left="-107" w:leftChars="-51" w:right="-107" w:rightChars="-51"/>
              <w:jc w:val="center"/>
              <w:rPr>
                <w:rFonts w:ascii="仿宋_GB2312" w:hAnsi="宋体" w:eastAsia="仿宋_GB2312" w:cs="宋体"/>
                <w:bCs/>
                <w:kern w:val="0"/>
                <w:sz w:val="24"/>
                <w:szCs w:val="24"/>
              </w:rPr>
            </w:pPr>
            <w:r>
              <w:rPr>
                <w:rFonts w:hint="eastAsia" w:ascii="仿宋_GB2312" w:hAnsi="宋体" w:eastAsia="仿宋_GB2312" w:cs="宋体"/>
                <w:bCs/>
                <w:kern w:val="0"/>
                <w:sz w:val="24"/>
                <w:szCs w:val="24"/>
              </w:rPr>
              <w:t>数量</w:t>
            </w:r>
          </w:p>
        </w:tc>
        <w:tc>
          <w:tcPr>
            <w:tcW w:w="1123" w:type="dxa"/>
            <w:vAlign w:val="center"/>
          </w:tcPr>
          <w:p>
            <w:pPr>
              <w:widowControl/>
              <w:jc w:val="center"/>
              <w:rPr>
                <w:rFonts w:ascii="仿宋_GB2312" w:hAnsi="宋体" w:eastAsia="仿宋_GB2312" w:cs="宋体"/>
                <w:bCs/>
                <w:kern w:val="0"/>
                <w:sz w:val="24"/>
                <w:szCs w:val="24"/>
              </w:rPr>
            </w:pPr>
            <w:r>
              <w:rPr>
                <w:rFonts w:hint="eastAsia" w:ascii="仿宋_GB2312" w:hAnsi="宋体" w:eastAsia="仿宋_GB2312" w:cs="宋体"/>
                <w:bCs/>
                <w:kern w:val="0"/>
                <w:sz w:val="24"/>
                <w:szCs w:val="24"/>
              </w:rPr>
              <w:t>单价(元)</w:t>
            </w:r>
          </w:p>
        </w:tc>
        <w:tc>
          <w:tcPr>
            <w:tcW w:w="1276" w:type="dxa"/>
            <w:shd w:val="clear" w:color="auto" w:fill="auto"/>
            <w:noWrap/>
            <w:vAlign w:val="center"/>
          </w:tcPr>
          <w:p>
            <w:pPr>
              <w:widowControl/>
              <w:jc w:val="center"/>
              <w:rPr>
                <w:rFonts w:ascii="仿宋_GB2312" w:hAnsi="宋体" w:eastAsia="仿宋_GB2312" w:cs="宋体"/>
                <w:bCs/>
                <w:kern w:val="0"/>
                <w:sz w:val="24"/>
                <w:szCs w:val="24"/>
              </w:rPr>
            </w:pPr>
            <w:r>
              <w:rPr>
                <w:rFonts w:hint="eastAsia" w:ascii="仿宋_GB2312" w:hAnsi="宋体" w:eastAsia="仿宋_GB2312" w:cs="宋体"/>
                <w:bCs/>
                <w:kern w:val="0"/>
                <w:sz w:val="24"/>
                <w:szCs w:val="24"/>
              </w:rPr>
              <w:t>金额(元)</w:t>
            </w:r>
          </w:p>
        </w:tc>
        <w:tc>
          <w:tcPr>
            <w:tcW w:w="1352" w:type="dxa"/>
            <w:shd w:val="clear" w:color="auto" w:fill="auto"/>
            <w:noWrap/>
            <w:vAlign w:val="center"/>
          </w:tcPr>
          <w:p>
            <w:pPr>
              <w:widowControl/>
              <w:jc w:val="center"/>
              <w:rPr>
                <w:rFonts w:ascii="仿宋_GB2312" w:hAnsi="宋体" w:eastAsia="仿宋_GB2312" w:cs="宋体"/>
                <w:bCs/>
                <w:kern w:val="0"/>
                <w:sz w:val="24"/>
                <w:szCs w:val="24"/>
              </w:rPr>
            </w:pPr>
            <w:r>
              <w:rPr>
                <w:rFonts w:hint="eastAsia" w:ascii="仿宋_GB2312" w:hAnsi="宋体" w:eastAsia="仿宋_GB2312" w:cs="宋体"/>
                <w:bCs/>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259" w:type="dxa"/>
            <w:shd w:val="clear" w:color="auto" w:fill="auto"/>
            <w:noWrap/>
            <w:vAlign w:val="center"/>
          </w:tcPr>
          <w:p>
            <w:pPr>
              <w:widowControl/>
              <w:jc w:val="left"/>
              <w:rPr>
                <w:rFonts w:ascii="仿宋_GB2312" w:hAnsi="宋体" w:eastAsia="仿宋_GB2312" w:cs="宋体"/>
                <w:bCs/>
                <w:kern w:val="0"/>
                <w:sz w:val="24"/>
                <w:szCs w:val="24"/>
              </w:rPr>
            </w:pPr>
          </w:p>
        </w:tc>
        <w:tc>
          <w:tcPr>
            <w:tcW w:w="1275" w:type="dxa"/>
            <w:shd w:val="clear" w:color="auto" w:fill="auto"/>
            <w:noWrap/>
            <w:vAlign w:val="center"/>
          </w:tcPr>
          <w:p>
            <w:pPr>
              <w:widowControl/>
              <w:jc w:val="left"/>
              <w:rPr>
                <w:rFonts w:ascii="仿宋_GB2312" w:hAnsi="宋体" w:eastAsia="仿宋_GB2312" w:cs="宋体"/>
                <w:bCs/>
                <w:kern w:val="0"/>
                <w:sz w:val="24"/>
                <w:szCs w:val="24"/>
              </w:rPr>
            </w:pPr>
          </w:p>
        </w:tc>
        <w:tc>
          <w:tcPr>
            <w:tcW w:w="1276" w:type="dxa"/>
            <w:shd w:val="clear" w:color="auto" w:fill="auto"/>
            <w:noWrap/>
            <w:vAlign w:val="center"/>
          </w:tcPr>
          <w:p>
            <w:pPr>
              <w:widowControl/>
              <w:jc w:val="left"/>
              <w:rPr>
                <w:rFonts w:ascii="仿宋_GB2312" w:hAnsi="宋体" w:eastAsia="仿宋_GB2312" w:cs="宋体"/>
                <w:bCs/>
                <w:kern w:val="0"/>
                <w:sz w:val="24"/>
                <w:szCs w:val="24"/>
              </w:rPr>
            </w:pPr>
          </w:p>
        </w:tc>
        <w:tc>
          <w:tcPr>
            <w:tcW w:w="973" w:type="dxa"/>
            <w:vAlign w:val="center"/>
          </w:tcPr>
          <w:p>
            <w:pPr>
              <w:widowControl/>
              <w:jc w:val="left"/>
              <w:rPr>
                <w:rFonts w:ascii="仿宋_GB2312" w:hAnsi="宋体" w:eastAsia="仿宋_GB2312" w:cs="宋体"/>
                <w:bCs/>
                <w:kern w:val="0"/>
                <w:sz w:val="24"/>
                <w:szCs w:val="24"/>
              </w:rPr>
            </w:pPr>
          </w:p>
        </w:tc>
        <w:tc>
          <w:tcPr>
            <w:tcW w:w="728" w:type="dxa"/>
            <w:shd w:val="clear" w:color="auto" w:fill="auto"/>
            <w:noWrap/>
            <w:vAlign w:val="center"/>
          </w:tcPr>
          <w:p>
            <w:pPr>
              <w:widowControl/>
              <w:jc w:val="center"/>
              <w:rPr>
                <w:rFonts w:ascii="仿宋_GB2312" w:hAnsi="宋体" w:eastAsia="仿宋_GB2312" w:cs="宋体"/>
                <w:bCs/>
                <w:kern w:val="0"/>
                <w:sz w:val="24"/>
                <w:szCs w:val="24"/>
              </w:rPr>
            </w:pPr>
          </w:p>
        </w:tc>
        <w:tc>
          <w:tcPr>
            <w:tcW w:w="709" w:type="dxa"/>
            <w:shd w:val="clear" w:color="auto" w:fill="auto"/>
            <w:noWrap/>
            <w:vAlign w:val="center"/>
          </w:tcPr>
          <w:p>
            <w:pPr>
              <w:widowControl/>
              <w:jc w:val="center"/>
              <w:rPr>
                <w:rFonts w:ascii="仿宋_GB2312" w:hAnsi="宋体" w:eastAsia="仿宋_GB2312" w:cs="宋体"/>
                <w:bCs/>
                <w:kern w:val="0"/>
                <w:sz w:val="24"/>
                <w:szCs w:val="24"/>
              </w:rPr>
            </w:pPr>
          </w:p>
        </w:tc>
        <w:tc>
          <w:tcPr>
            <w:tcW w:w="1123" w:type="dxa"/>
            <w:vAlign w:val="center"/>
          </w:tcPr>
          <w:p>
            <w:pPr>
              <w:widowControl/>
              <w:jc w:val="right"/>
              <w:rPr>
                <w:rFonts w:ascii="仿宋_GB2312" w:hAnsi="宋体" w:eastAsia="仿宋_GB2312" w:cs="宋体"/>
                <w:bCs/>
                <w:kern w:val="0"/>
                <w:sz w:val="24"/>
                <w:szCs w:val="24"/>
              </w:rPr>
            </w:pPr>
          </w:p>
        </w:tc>
        <w:tc>
          <w:tcPr>
            <w:tcW w:w="1276" w:type="dxa"/>
            <w:shd w:val="clear" w:color="auto" w:fill="auto"/>
            <w:noWrap/>
            <w:vAlign w:val="center"/>
          </w:tcPr>
          <w:p>
            <w:pPr>
              <w:widowControl/>
              <w:jc w:val="right"/>
              <w:rPr>
                <w:rFonts w:ascii="仿宋_GB2312" w:hAnsi="宋体" w:eastAsia="仿宋_GB2312" w:cs="宋体"/>
                <w:bCs/>
                <w:kern w:val="0"/>
                <w:sz w:val="24"/>
                <w:szCs w:val="24"/>
              </w:rPr>
            </w:pPr>
          </w:p>
        </w:tc>
        <w:tc>
          <w:tcPr>
            <w:tcW w:w="1352" w:type="dxa"/>
            <w:shd w:val="clear" w:color="auto" w:fill="auto"/>
            <w:noWrap/>
            <w:vAlign w:val="center"/>
          </w:tcPr>
          <w:p>
            <w:pPr>
              <w:widowControl/>
              <w:jc w:val="left"/>
              <w:rPr>
                <w:rFonts w:ascii="仿宋_GB2312" w:hAnsi="宋体" w:eastAsia="仿宋_GB2312" w:cs="宋体"/>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259" w:type="dxa"/>
            <w:shd w:val="clear" w:color="auto" w:fill="auto"/>
            <w:noWrap/>
            <w:vAlign w:val="center"/>
          </w:tcPr>
          <w:p>
            <w:pPr>
              <w:widowControl/>
              <w:jc w:val="left"/>
              <w:rPr>
                <w:rFonts w:ascii="仿宋_GB2312" w:hAnsi="宋体" w:eastAsia="仿宋_GB2312" w:cs="宋体"/>
                <w:bCs/>
                <w:kern w:val="0"/>
                <w:sz w:val="24"/>
                <w:szCs w:val="24"/>
              </w:rPr>
            </w:pPr>
          </w:p>
        </w:tc>
        <w:tc>
          <w:tcPr>
            <w:tcW w:w="1275" w:type="dxa"/>
            <w:shd w:val="clear" w:color="auto" w:fill="auto"/>
            <w:noWrap/>
            <w:vAlign w:val="center"/>
          </w:tcPr>
          <w:p>
            <w:pPr>
              <w:widowControl/>
              <w:jc w:val="left"/>
              <w:rPr>
                <w:rFonts w:ascii="仿宋_GB2312" w:hAnsi="宋体" w:eastAsia="仿宋_GB2312" w:cs="宋体"/>
                <w:bCs/>
                <w:kern w:val="0"/>
                <w:sz w:val="24"/>
                <w:szCs w:val="24"/>
              </w:rPr>
            </w:pPr>
          </w:p>
        </w:tc>
        <w:tc>
          <w:tcPr>
            <w:tcW w:w="1276" w:type="dxa"/>
            <w:shd w:val="clear" w:color="auto" w:fill="auto"/>
            <w:noWrap/>
            <w:vAlign w:val="center"/>
          </w:tcPr>
          <w:p>
            <w:pPr>
              <w:widowControl/>
              <w:jc w:val="left"/>
              <w:rPr>
                <w:rFonts w:ascii="仿宋_GB2312" w:hAnsi="宋体" w:eastAsia="仿宋_GB2312" w:cs="宋体"/>
                <w:bCs/>
                <w:kern w:val="0"/>
                <w:sz w:val="24"/>
                <w:szCs w:val="24"/>
              </w:rPr>
            </w:pPr>
          </w:p>
        </w:tc>
        <w:tc>
          <w:tcPr>
            <w:tcW w:w="973" w:type="dxa"/>
            <w:vAlign w:val="center"/>
          </w:tcPr>
          <w:p>
            <w:pPr>
              <w:widowControl/>
              <w:jc w:val="left"/>
              <w:rPr>
                <w:rFonts w:ascii="仿宋_GB2312" w:hAnsi="宋体" w:eastAsia="仿宋_GB2312" w:cs="宋体"/>
                <w:bCs/>
                <w:kern w:val="0"/>
                <w:sz w:val="24"/>
                <w:szCs w:val="24"/>
              </w:rPr>
            </w:pPr>
          </w:p>
        </w:tc>
        <w:tc>
          <w:tcPr>
            <w:tcW w:w="728" w:type="dxa"/>
            <w:shd w:val="clear" w:color="auto" w:fill="auto"/>
            <w:noWrap/>
            <w:vAlign w:val="center"/>
          </w:tcPr>
          <w:p>
            <w:pPr>
              <w:widowControl/>
              <w:jc w:val="center"/>
              <w:rPr>
                <w:rFonts w:ascii="仿宋_GB2312" w:hAnsi="宋体" w:eastAsia="仿宋_GB2312" w:cs="宋体"/>
                <w:bCs/>
                <w:kern w:val="0"/>
                <w:sz w:val="24"/>
                <w:szCs w:val="24"/>
              </w:rPr>
            </w:pPr>
          </w:p>
        </w:tc>
        <w:tc>
          <w:tcPr>
            <w:tcW w:w="709" w:type="dxa"/>
            <w:shd w:val="clear" w:color="auto" w:fill="auto"/>
            <w:noWrap/>
            <w:vAlign w:val="center"/>
          </w:tcPr>
          <w:p>
            <w:pPr>
              <w:widowControl/>
              <w:jc w:val="center"/>
              <w:rPr>
                <w:rFonts w:ascii="仿宋_GB2312" w:hAnsi="宋体" w:eastAsia="仿宋_GB2312" w:cs="宋体"/>
                <w:bCs/>
                <w:kern w:val="0"/>
                <w:sz w:val="24"/>
                <w:szCs w:val="24"/>
              </w:rPr>
            </w:pPr>
          </w:p>
        </w:tc>
        <w:tc>
          <w:tcPr>
            <w:tcW w:w="1123" w:type="dxa"/>
            <w:vAlign w:val="center"/>
          </w:tcPr>
          <w:p>
            <w:pPr>
              <w:widowControl/>
              <w:jc w:val="right"/>
              <w:rPr>
                <w:rFonts w:ascii="仿宋_GB2312" w:hAnsi="宋体" w:eastAsia="仿宋_GB2312" w:cs="宋体"/>
                <w:bCs/>
                <w:kern w:val="0"/>
                <w:sz w:val="24"/>
                <w:szCs w:val="24"/>
              </w:rPr>
            </w:pPr>
          </w:p>
        </w:tc>
        <w:tc>
          <w:tcPr>
            <w:tcW w:w="1276" w:type="dxa"/>
            <w:shd w:val="clear" w:color="auto" w:fill="auto"/>
            <w:noWrap/>
            <w:vAlign w:val="center"/>
          </w:tcPr>
          <w:p>
            <w:pPr>
              <w:widowControl/>
              <w:jc w:val="right"/>
              <w:rPr>
                <w:rFonts w:ascii="仿宋_GB2312" w:hAnsi="宋体" w:eastAsia="仿宋_GB2312" w:cs="宋体"/>
                <w:bCs/>
                <w:kern w:val="0"/>
                <w:sz w:val="24"/>
                <w:szCs w:val="24"/>
              </w:rPr>
            </w:pPr>
          </w:p>
        </w:tc>
        <w:tc>
          <w:tcPr>
            <w:tcW w:w="1352" w:type="dxa"/>
            <w:shd w:val="clear" w:color="auto" w:fill="auto"/>
            <w:noWrap/>
            <w:vAlign w:val="center"/>
          </w:tcPr>
          <w:p>
            <w:pPr>
              <w:widowControl/>
              <w:jc w:val="left"/>
              <w:rPr>
                <w:rFonts w:ascii="仿宋_GB2312" w:hAnsi="宋体" w:eastAsia="仿宋_GB2312" w:cs="宋体"/>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259" w:type="dxa"/>
            <w:shd w:val="clear" w:color="auto" w:fill="auto"/>
            <w:noWrap/>
            <w:vAlign w:val="center"/>
          </w:tcPr>
          <w:p>
            <w:pPr>
              <w:widowControl/>
              <w:jc w:val="left"/>
              <w:rPr>
                <w:rFonts w:ascii="仿宋_GB2312" w:hAnsi="宋体" w:eastAsia="仿宋_GB2312" w:cs="宋体"/>
                <w:bCs/>
                <w:kern w:val="0"/>
                <w:sz w:val="24"/>
                <w:szCs w:val="24"/>
              </w:rPr>
            </w:pPr>
          </w:p>
        </w:tc>
        <w:tc>
          <w:tcPr>
            <w:tcW w:w="1275" w:type="dxa"/>
            <w:shd w:val="clear" w:color="auto" w:fill="auto"/>
            <w:noWrap/>
            <w:vAlign w:val="center"/>
          </w:tcPr>
          <w:p>
            <w:pPr>
              <w:widowControl/>
              <w:jc w:val="left"/>
              <w:rPr>
                <w:rFonts w:ascii="仿宋_GB2312" w:hAnsi="宋体" w:eastAsia="仿宋_GB2312" w:cs="宋体"/>
                <w:bCs/>
                <w:kern w:val="0"/>
                <w:sz w:val="24"/>
                <w:szCs w:val="24"/>
              </w:rPr>
            </w:pPr>
          </w:p>
        </w:tc>
        <w:tc>
          <w:tcPr>
            <w:tcW w:w="1276" w:type="dxa"/>
            <w:shd w:val="clear" w:color="auto" w:fill="auto"/>
            <w:noWrap/>
            <w:vAlign w:val="center"/>
          </w:tcPr>
          <w:p>
            <w:pPr>
              <w:widowControl/>
              <w:jc w:val="left"/>
              <w:rPr>
                <w:rFonts w:ascii="仿宋_GB2312" w:hAnsi="宋体" w:eastAsia="仿宋_GB2312" w:cs="宋体"/>
                <w:bCs/>
                <w:kern w:val="0"/>
                <w:sz w:val="24"/>
                <w:szCs w:val="24"/>
              </w:rPr>
            </w:pPr>
          </w:p>
        </w:tc>
        <w:tc>
          <w:tcPr>
            <w:tcW w:w="973" w:type="dxa"/>
            <w:vAlign w:val="center"/>
          </w:tcPr>
          <w:p>
            <w:pPr>
              <w:widowControl/>
              <w:jc w:val="left"/>
              <w:rPr>
                <w:rFonts w:ascii="仿宋_GB2312" w:hAnsi="宋体" w:eastAsia="仿宋_GB2312" w:cs="宋体"/>
                <w:bCs/>
                <w:kern w:val="0"/>
                <w:sz w:val="24"/>
                <w:szCs w:val="24"/>
              </w:rPr>
            </w:pPr>
          </w:p>
        </w:tc>
        <w:tc>
          <w:tcPr>
            <w:tcW w:w="728" w:type="dxa"/>
            <w:shd w:val="clear" w:color="auto" w:fill="auto"/>
            <w:noWrap/>
            <w:vAlign w:val="center"/>
          </w:tcPr>
          <w:p>
            <w:pPr>
              <w:widowControl/>
              <w:jc w:val="center"/>
              <w:rPr>
                <w:rFonts w:ascii="仿宋_GB2312" w:hAnsi="宋体" w:eastAsia="仿宋_GB2312" w:cs="宋体"/>
                <w:bCs/>
                <w:kern w:val="0"/>
                <w:sz w:val="24"/>
                <w:szCs w:val="24"/>
              </w:rPr>
            </w:pPr>
          </w:p>
        </w:tc>
        <w:tc>
          <w:tcPr>
            <w:tcW w:w="709" w:type="dxa"/>
            <w:shd w:val="clear" w:color="auto" w:fill="auto"/>
            <w:noWrap/>
            <w:vAlign w:val="center"/>
          </w:tcPr>
          <w:p>
            <w:pPr>
              <w:widowControl/>
              <w:jc w:val="center"/>
              <w:rPr>
                <w:rFonts w:ascii="仿宋_GB2312" w:hAnsi="宋体" w:eastAsia="仿宋_GB2312" w:cs="宋体"/>
                <w:bCs/>
                <w:kern w:val="0"/>
                <w:sz w:val="24"/>
                <w:szCs w:val="24"/>
              </w:rPr>
            </w:pPr>
          </w:p>
        </w:tc>
        <w:tc>
          <w:tcPr>
            <w:tcW w:w="1123" w:type="dxa"/>
            <w:vAlign w:val="center"/>
          </w:tcPr>
          <w:p>
            <w:pPr>
              <w:widowControl/>
              <w:jc w:val="right"/>
              <w:rPr>
                <w:rFonts w:ascii="仿宋_GB2312" w:hAnsi="宋体" w:eastAsia="仿宋_GB2312" w:cs="宋体"/>
                <w:bCs/>
                <w:kern w:val="0"/>
                <w:sz w:val="24"/>
                <w:szCs w:val="24"/>
              </w:rPr>
            </w:pPr>
          </w:p>
        </w:tc>
        <w:tc>
          <w:tcPr>
            <w:tcW w:w="1276" w:type="dxa"/>
            <w:shd w:val="clear" w:color="auto" w:fill="auto"/>
            <w:noWrap/>
            <w:vAlign w:val="center"/>
          </w:tcPr>
          <w:p>
            <w:pPr>
              <w:widowControl/>
              <w:jc w:val="right"/>
              <w:rPr>
                <w:rFonts w:ascii="仿宋_GB2312" w:hAnsi="宋体" w:eastAsia="仿宋_GB2312" w:cs="宋体"/>
                <w:bCs/>
                <w:kern w:val="0"/>
                <w:sz w:val="24"/>
                <w:szCs w:val="24"/>
              </w:rPr>
            </w:pPr>
          </w:p>
        </w:tc>
        <w:tc>
          <w:tcPr>
            <w:tcW w:w="1352" w:type="dxa"/>
            <w:shd w:val="clear" w:color="auto" w:fill="auto"/>
            <w:noWrap/>
            <w:vAlign w:val="center"/>
          </w:tcPr>
          <w:p>
            <w:pPr>
              <w:widowControl/>
              <w:jc w:val="left"/>
              <w:rPr>
                <w:rFonts w:ascii="仿宋_GB2312" w:hAnsi="宋体" w:eastAsia="仿宋_GB2312" w:cs="宋体"/>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259" w:type="dxa"/>
            <w:tcBorders>
              <w:bottom w:val="single" w:color="auto" w:sz="4" w:space="0"/>
            </w:tcBorders>
            <w:shd w:val="clear" w:color="auto" w:fill="auto"/>
            <w:noWrap/>
            <w:vAlign w:val="center"/>
          </w:tcPr>
          <w:p>
            <w:pPr>
              <w:widowControl/>
              <w:rPr>
                <w:rFonts w:ascii="仿宋_GB2312" w:hAnsi="宋体" w:eastAsia="仿宋_GB2312" w:cs="宋体"/>
                <w:bCs/>
                <w:kern w:val="0"/>
                <w:sz w:val="24"/>
                <w:szCs w:val="24"/>
              </w:rPr>
            </w:pPr>
            <w:r>
              <w:rPr>
                <w:rFonts w:hint="eastAsia" w:ascii="仿宋_GB2312" w:hAnsi="宋体" w:eastAsia="仿宋_GB2312" w:cs="宋体"/>
                <w:bCs/>
                <w:kern w:val="0"/>
                <w:sz w:val="24"/>
                <w:szCs w:val="24"/>
              </w:rPr>
              <w:t>合计</w:t>
            </w:r>
          </w:p>
        </w:tc>
        <w:tc>
          <w:tcPr>
            <w:tcW w:w="1275" w:type="dxa"/>
            <w:tcBorders>
              <w:bottom w:val="single" w:color="auto" w:sz="4" w:space="0"/>
            </w:tcBorders>
            <w:shd w:val="clear" w:color="auto" w:fill="auto"/>
            <w:noWrap/>
            <w:vAlign w:val="center"/>
          </w:tcPr>
          <w:p>
            <w:pPr>
              <w:widowControl/>
              <w:jc w:val="left"/>
              <w:rPr>
                <w:rFonts w:ascii="仿宋_GB2312" w:hAnsi="宋体" w:eastAsia="仿宋_GB2312" w:cs="宋体"/>
                <w:bCs/>
                <w:kern w:val="0"/>
                <w:sz w:val="24"/>
                <w:szCs w:val="24"/>
              </w:rPr>
            </w:pPr>
          </w:p>
        </w:tc>
        <w:tc>
          <w:tcPr>
            <w:tcW w:w="1276" w:type="dxa"/>
            <w:tcBorders>
              <w:bottom w:val="single" w:color="auto" w:sz="4" w:space="0"/>
            </w:tcBorders>
            <w:shd w:val="clear" w:color="auto" w:fill="auto"/>
            <w:noWrap/>
            <w:vAlign w:val="center"/>
          </w:tcPr>
          <w:p>
            <w:pPr>
              <w:widowControl/>
              <w:jc w:val="left"/>
              <w:rPr>
                <w:rFonts w:ascii="仿宋_GB2312" w:hAnsi="宋体" w:eastAsia="仿宋_GB2312" w:cs="宋体"/>
                <w:bCs/>
                <w:kern w:val="0"/>
                <w:sz w:val="24"/>
                <w:szCs w:val="24"/>
              </w:rPr>
            </w:pPr>
          </w:p>
        </w:tc>
        <w:tc>
          <w:tcPr>
            <w:tcW w:w="973" w:type="dxa"/>
            <w:tcBorders>
              <w:bottom w:val="single" w:color="auto" w:sz="4" w:space="0"/>
            </w:tcBorders>
            <w:vAlign w:val="center"/>
          </w:tcPr>
          <w:p>
            <w:pPr>
              <w:widowControl/>
              <w:jc w:val="left"/>
              <w:rPr>
                <w:rFonts w:ascii="仿宋_GB2312" w:hAnsi="宋体" w:eastAsia="仿宋_GB2312" w:cs="宋体"/>
                <w:bCs/>
                <w:kern w:val="0"/>
                <w:sz w:val="24"/>
                <w:szCs w:val="24"/>
              </w:rPr>
            </w:pPr>
          </w:p>
        </w:tc>
        <w:tc>
          <w:tcPr>
            <w:tcW w:w="728" w:type="dxa"/>
            <w:tcBorders>
              <w:bottom w:val="single" w:color="auto" w:sz="4" w:space="0"/>
            </w:tcBorders>
            <w:shd w:val="clear" w:color="auto" w:fill="auto"/>
            <w:noWrap/>
            <w:vAlign w:val="center"/>
          </w:tcPr>
          <w:p>
            <w:pPr>
              <w:widowControl/>
              <w:jc w:val="center"/>
              <w:rPr>
                <w:rFonts w:ascii="仿宋_GB2312" w:hAnsi="宋体" w:eastAsia="仿宋_GB2312" w:cs="宋体"/>
                <w:bCs/>
                <w:kern w:val="0"/>
                <w:sz w:val="24"/>
                <w:szCs w:val="24"/>
              </w:rPr>
            </w:pPr>
          </w:p>
        </w:tc>
        <w:tc>
          <w:tcPr>
            <w:tcW w:w="709" w:type="dxa"/>
            <w:tcBorders>
              <w:bottom w:val="single" w:color="auto" w:sz="4" w:space="0"/>
            </w:tcBorders>
            <w:shd w:val="clear" w:color="auto" w:fill="auto"/>
            <w:noWrap/>
            <w:vAlign w:val="center"/>
          </w:tcPr>
          <w:p>
            <w:pPr>
              <w:widowControl/>
              <w:jc w:val="center"/>
              <w:rPr>
                <w:rFonts w:ascii="仿宋_GB2312" w:hAnsi="宋体" w:eastAsia="仿宋_GB2312" w:cs="宋体"/>
                <w:bCs/>
                <w:kern w:val="0"/>
                <w:sz w:val="24"/>
                <w:szCs w:val="24"/>
              </w:rPr>
            </w:pPr>
          </w:p>
        </w:tc>
        <w:tc>
          <w:tcPr>
            <w:tcW w:w="1123" w:type="dxa"/>
            <w:tcBorders>
              <w:bottom w:val="single" w:color="auto" w:sz="4" w:space="0"/>
            </w:tcBorders>
            <w:shd w:val="clear" w:color="auto" w:fill="auto"/>
            <w:vAlign w:val="center"/>
          </w:tcPr>
          <w:p>
            <w:pPr>
              <w:widowControl/>
              <w:jc w:val="right"/>
              <w:rPr>
                <w:rFonts w:ascii="仿宋_GB2312" w:hAnsi="宋体" w:eastAsia="仿宋_GB2312" w:cs="宋体"/>
                <w:bCs/>
                <w:kern w:val="0"/>
                <w:sz w:val="24"/>
                <w:szCs w:val="24"/>
              </w:rPr>
            </w:pPr>
          </w:p>
        </w:tc>
        <w:tc>
          <w:tcPr>
            <w:tcW w:w="1276" w:type="dxa"/>
            <w:tcBorders>
              <w:bottom w:val="single" w:color="auto" w:sz="4" w:space="0"/>
            </w:tcBorders>
            <w:shd w:val="clear" w:color="auto" w:fill="auto"/>
            <w:noWrap/>
            <w:vAlign w:val="center"/>
          </w:tcPr>
          <w:p>
            <w:pPr>
              <w:widowControl/>
              <w:jc w:val="right"/>
              <w:rPr>
                <w:rFonts w:ascii="仿宋_GB2312" w:hAnsi="宋体" w:eastAsia="仿宋_GB2312" w:cs="宋体"/>
                <w:bCs/>
                <w:kern w:val="0"/>
                <w:sz w:val="24"/>
                <w:szCs w:val="24"/>
              </w:rPr>
            </w:pPr>
          </w:p>
        </w:tc>
        <w:tc>
          <w:tcPr>
            <w:tcW w:w="1352" w:type="dxa"/>
            <w:tcBorders>
              <w:bottom w:val="single" w:color="auto" w:sz="4" w:space="0"/>
            </w:tcBorders>
            <w:shd w:val="clear" w:color="auto" w:fill="auto"/>
            <w:noWrap/>
            <w:vAlign w:val="center"/>
          </w:tcPr>
          <w:p>
            <w:pPr>
              <w:widowControl/>
              <w:jc w:val="left"/>
              <w:rPr>
                <w:rFonts w:ascii="仿宋_GB2312" w:hAnsi="宋体" w:eastAsia="仿宋_GB2312" w:cs="宋体"/>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259" w:type="dxa"/>
            <w:vMerge w:val="restart"/>
            <w:tcBorders>
              <w:right w:val="nil"/>
            </w:tcBorders>
            <w:shd w:val="clear" w:color="auto" w:fill="auto"/>
            <w:noWrap/>
            <w:vAlign w:val="center"/>
          </w:tcPr>
          <w:p>
            <w:pPr>
              <w:widowControl/>
              <w:jc w:val="center"/>
              <w:rPr>
                <w:rFonts w:ascii="仿宋_GB2312" w:hAnsi="宋体" w:eastAsia="仿宋_GB2312" w:cs="宋体"/>
                <w:bCs/>
                <w:kern w:val="0"/>
                <w:sz w:val="24"/>
                <w:szCs w:val="24"/>
              </w:rPr>
            </w:pPr>
            <w:r>
              <w:rPr>
                <w:rFonts w:hint="eastAsia" w:ascii="仿宋_GB2312" w:hAnsi="宋体" w:eastAsia="仿宋_GB2312" w:cs="宋体"/>
                <w:bCs/>
                <w:kern w:val="0"/>
                <w:sz w:val="24"/>
                <w:szCs w:val="24"/>
              </w:rPr>
              <w:t>转出部门</w:t>
            </w:r>
          </w:p>
        </w:tc>
        <w:tc>
          <w:tcPr>
            <w:tcW w:w="3524" w:type="dxa"/>
            <w:gridSpan w:val="3"/>
            <w:tcBorders>
              <w:bottom w:val="nil"/>
              <w:right w:val="nil"/>
            </w:tcBorders>
            <w:shd w:val="clear" w:color="auto" w:fill="auto"/>
            <w:vAlign w:val="center"/>
          </w:tcPr>
          <w:p>
            <w:pPr>
              <w:widowControl/>
              <w:jc w:val="left"/>
              <w:rPr>
                <w:rFonts w:ascii="仿宋_GB2312" w:hAnsi="宋体" w:eastAsia="仿宋_GB2312" w:cs="宋体"/>
                <w:bCs/>
                <w:kern w:val="0"/>
                <w:sz w:val="24"/>
                <w:szCs w:val="24"/>
              </w:rPr>
            </w:pPr>
          </w:p>
        </w:tc>
        <w:tc>
          <w:tcPr>
            <w:tcW w:w="1437" w:type="dxa"/>
            <w:gridSpan w:val="2"/>
            <w:vMerge w:val="restart"/>
            <w:shd w:val="clear" w:color="auto" w:fill="auto"/>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转入部门</w:t>
            </w:r>
          </w:p>
        </w:tc>
        <w:tc>
          <w:tcPr>
            <w:tcW w:w="3751" w:type="dxa"/>
            <w:gridSpan w:val="3"/>
            <w:tcBorders>
              <w:bottom w:val="nil"/>
            </w:tcBorders>
            <w:shd w:val="clear" w:color="auto" w:fill="auto"/>
            <w:vAlign w:val="center"/>
          </w:tcPr>
          <w:p>
            <w:pPr>
              <w:widowControl/>
              <w:jc w:val="left"/>
              <w:rPr>
                <w:rFonts w:ascii="仿宋_GB2312" w:hAnsi="宋体" w:eastAsia="仿宋_GB2312"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259" w:type="dxa"/>
            <w:vMerge w:val="continue"/>
            <w:tcBorders>
              <w:right w:val="nil"/>
            </w:tcBorders>
            <w:shd w:val="clear" w:color="auto" w:fill="auto"/>
            <w:noWrap/>
            <w:vAlign w:val="center"/>
          </w:tcPr>
          <w:p>
            <w:pPr>
              <w:widowControl/>
              <w:jc w:val="center"/>
              <w:rPr>
                <w:rFonts w:ascii="仿宋_GB2312" w:hAnsi="宋体" w:eastAsia="仿宋_GB2312" w:cs="宋体"/>
                <w:bCs/>
                <w:kern w:val="0"/>
                <w:sz w:val="24"/>
                <w:szCs w:val="24"/>
              </w:rPr>
            </w:pPr>
          </w:p>
        </w:tc>
        <w:tc>
          <w:tcPr>
            <w:tcW w:w="3524" w:type="dxa"/>
            <w:gridSpan w:val="3"/>
            <w:tcBorders>
              <w:top w:val="nil"/>
              <w:bottom w:val="nil"/>
              <w:right w:val="nil"/>
            </w:tcBorders>
            <w:shd w:val="clear" w:color="auto" w:fill="auto"/>
            <w:vAlign w:val="center"/>
          </w:tcPr>
          <w:p>
            <w:pPr>
              <w:widowControl/>
              <w:jc w:val="left"/>
              <w:rPr>
                <w:rFonts w:ascii="仿宋_GB2312" w:hAnsi="宋体" w:eastAsia="仿宋_GB2312" w:cs="宋体"/>
                <w:bCs/>
                <w:kern w:val="0"/>
                <w:sz w:val="24"/>
                <w:szCs w:val="24"/>
              </w:rPr>
            </w:pPr>
          </w:p>
        </w:tc>
        <w:tc>
          <w:tcPr>
            <w:tcW w:w="1437" w:type="dxa"/>
            <w:gridSpan w:val="2"/>
            <w:vMerge w:val="continue"/>
            <w:shd w:val="clear" w:color="auto" w:fill="auto"/>
            <w:vAlign w:val="center"/>
          </w:tcPr>
          <w:p>
            <w:pPr>
              <w:widowControl/>
              <w:jc w:val="center"/>
              <w:rPr>
                <w:rFonts w:ascii="仿宋_GB2312" w:hAnsi="宋体" w:eastAsia="仿宋_GB2312" w:cs="宋体"/>
                <w:kern w:val="0"/>
                <w:sz w:val="24"/>
                <w:szCs w:val="24"/>
              </w:rPr>
            </w:pPr>
          </w:p>
        </w:tc>
        <w:tc>
          <w:tcPr>
            <w:tcW w:w="3751" w:type="dxa"/>
            <w:gridSpan w:val="3"/>
            <w:tcBorders>
              <w:top w:val="nil"/>
              <w:bottom w:val="nil"/>
            </w:tcBorders>
            <w:shd w:val="clear" w:color="auto" w:fill="auto"/>
            <w:vAlign w:val="center"/>
          </w:tcPr>
          <w:p>
            <w:pPr>
              <w:widowControl/>
              <w:jc w:val="left"/>
              <w:rPr>
                <w:rFonts w:ascii="仿宋_GB2312" w:hAnsi="宋体" w:eastAsia="仿宋_GB2312"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259" w:type="dxa"/>
            <w:vMerge w:val="continue"/>
            <w:tcBorders>
              <w:bottom w:val="single" w:color="auto" w:sz="4" w:space="0"/>
              <w:right w:val="nil"/>
            </w:tcBorders>
            <w:shd w:val="clear" w:color="auto" w:fill="auto"/>
            <w:noWrap/>
            <w:vAlign w:val="center"/>
          </w:tcPr>
          <w:p>
            <w:pPr>
              <w:widowControl/>
              <w:rPr>
                <w:rFonts w:ascii="仿宋_GB2312" w:hAnsi="宋体" w:eastAsia="仿宋_GB2312" w:cs="宋体"/>
                <w:bCs/>
                <w:kern w:val="0"/>
                <w:sz w:val="24"/>
                <w:szCs w:val="24"/>
              </w:rPr>
            </w:pPr>
          </w:p>
        </w:tc>
        <w:tc>
          <w:tcPr>
            <w:tcW w:w="3524" w:type="dxa"/>
            <w:gridSpan w:val="3"/>
            <w:tcBorders>
              <w:top w:val="nil"/>
              <w:bottom w:val="single" w:color="auto" w:sz="4" w:space="0"/>
              <w:right w:val="nil"/>
            </w:tcBorders>
            <w:shd w:val="clear" w:color="auto" w:fill="auto"/>
            <w:vAlign w:val="center"/>
          </w:tcPr>
          <w:p>
            <w:pPr>
              <w:widowControl/>
              <w:jc w:val="left"/>
              <w:rPr>
                <w:rFonts w:ascii="仿宋_GB2312" w:hAnsi="宋体" w:eastAsia="仿宋_GB2312" w:cs="宋体"/>
                <w:bCs/>
                <w:kern w:val="0"/>
                <w:sz w:val="24"/>
                <w:szCs w:val="24"/>
              </w:rPr>
            </w:pPr>
            <w:r>
              <w:rPr>
                <w:rFonts w:hint="eastAsia" w:ascii="仿宋_GB2312" w:hAnsi="宋体" w:eastAsia="仿宋_GB2312" w:cs="宋体"/>
                <w:bCs/>
                <w:kern w:val="0"/>
                <w:sz w:val="24"/>
                <w:szCs w:val="24"/>
              </w:rPr>
              <w:t>负责人：</w:t>
            </w:r>
          </w:p>
        </w:tc>
        <w:tc>
          <w:tcPr>
            <w:tcW w:w="1437" w:type="dxa"/>
            <w:gridSpan w:val="2"/>
            <w:vMerge w:val="continue"/>
            <w:tcBorders>
              <w:bottom w:val="single" w:color="auto" w:sz="4" w:space="0"/>
            </w:tcBorders>
            <w:shd w:val="clear" w:color="auto" w:fill="auto"/>
            <w:vAlign w:val="center"/>
          </w:tcPr>
          <w:p>
            <w:pPr>
              <w:widowControl/>
              <w:rPr>
                <w:rFonts w:ascii="仿宋_GB2312" w:hAnsi="宋体" w:eastAsia="仿宋_GB2312" w:cs="宋体"/>
                <w:bCs/>
                <w:kern w:val="0"/>
                <w:sz w:val="24"/>
                <w:szCs w:val="24"/>
              </w:rPr>
            </w:pPr>
          </w:p>
        </w:tc>
        <w:tc>
          <w:tcPr>
            <w:tcW w:w="3751" w:type="dxa"/>
            <w:gridSpan w:val="3"/>
            <w:tcBorders>
              <w:top w:val="nil"/>
              <w:bottom w:val="single" w:color="auto" w:sz="4" w:space="0"/>
            </w:tcBorders>
            <w:shd w:val="clear" w:color="auto" w:fill="auto"/>
            <w:vAlign w:val="center"/>
          </w:tcPr>
          <w:p>
            <w:pPr>
              <w:widowControl/>
              <w:jc w:val="left"/>
              <w:rPr>
                <w:rFonts w:ascii="仿宋_GB2312" w:hAnsi="宋体" w:eastAsia="仿宋_GB2312" w:cs="宋体"/>
                <w:bCs/>
                <w:kern w:val="0"/>
                <w:sz w:val="24"/>
                <w:szCs w:val="24"/>
              </w:rPr>
            </w:pPr>
            <w:r>
              <w:rPr>
                <w:rFonts w:hint="eastAsia" w:ascii="仿宋_GB2312" w:hAnsi="宋体" w:eastAsia="仿宋_GB2312" w:cs="宋体"/>
                <w:bCs/>
                <w:kern w:val="0"/>
                <w:sz w:val="24"/>
                <w:szCs w:val="24"/>
              </w:rPr>
              <w:t>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259" w:type="dxa"/>
            <w:tcBorders>
              <w:bottom w:val="single" w:color="auto" w:sz="4" w:space="0"/>
              <w:right w:val="nil"/>
            </w:tcBorders>
            <w:shd w:val="clear" w:color="auto" w:fill="auto"/>
            <w:noWrap/>
            <w:vAlign w:val="center"/>
          </w:tcPr>
          <w:p>
            <w:pPr>
              <w:widowControl/>
              <w:ind w:firstLine="120" w:firstLineChars="50"/>
              <w:jc w:val="center"/>
              <w:rPr>
                <w:rFonts w:ascii="仿宋_GB2312" w:hAnsi="宋体" w:eastAsia="仿宋_GB2312" w:cs="宋体"/>
                <w:bCs/>
                <w:kern w:val="0"/>
                <w:sz w:val="24"/>
                <w:szCs w:val="24"/>
              </w:rPr>
            </w:pPr>
          </w:p>
          <w:p>
            <w:pPr>
              <w:widowControl/>
              <w:ind w:firstLine="120" w:firstLineChars="50"/>
              <w:jc w:val="center"/>
              <w:rPr>
                <w:rFonts w:ascii="仿宋_GB2312" w:hAnsi="宋体" w:eastAsia="仿宋_GB2312" w:cs="宋体"/>
                <w:bCs/>
                <w:kern w:val="0"/>
                <w:sz w:val="24"/>
                <w:szCs w:val="24"/>
              </w:rPr>
            </w:pPr>
            <w:r>
              <w:rPr>
                <w:rFonts w:hint="eastAsia" w:ascii="仿宋_GB2312" w:hAnsi="宋体" w:eastAsia="仿宋_GB2312" w:cs="宋体"/>
                <w:bCs/>
                <w:kern w:val="0"/>
                <w:sz w:val="24"/>
                <w:szCs w:val="24"/>
              </w:rPr>
              <w:t>综合</w:t>
            </w:r>
          </w:p>
          <w:p>
            <w:pPr>
              <w:widowControl/>
              <w:jc w:val="center"/>
              <w:rPr>
                <w:rFonts w:ascii="仿宋_GB2312" w:hAnsi="宋体" w:eastAsia="仿宋_GB2312" w:cs="宋体"/>
                <w:bCs/>
                <w:kern w:val="0"/>
                <w:sz w:val="24"/>
                <w:szCs w:val="24"/>
              </w:rPr>
            </w:pPr>
            <w:r>
              <w:rPr>
                <w:rFonts w:hint="eastAsia" w:ascii="仿宋_GB2312" w:hAnsi="宋体" w:eastAsia="仿宋_GB2312" w:cs="宋体"/>
                <w:bCs/>
                <w:kern w:val="0"/>
                <w:sz w:val="24"/>
                <w:szCs w:val="24"/>
              </w:rPr>
              <w:t>管理部</w:t>
            </w:r>
          </w:p>
          <w:p>
            <w:pPr>
              <w:widowControl/>
              <w:jc w:val="center"/>
              <w:rPr>
                <w:rFonts w:ascii="仿宋_GB2312" w:hAnsi="宋体" w:eastAsia="仿宋_GB2312" w:cs="宋体"/>
                <w:bCs/>
                <w:kern w:val="0"/>
                <w:sz w:val="24"/>
                <w:szCs w:val="24"/>
              </w:rPr>
            </w:pPr>
          </w:p>
        </w:tc>
        <w:tc>
          <w:tcPr>
            <w:tcW w:w="3524" w:type="dxa"/>
            <w:gridSpan w:val="3"/>
            <w:tcBorders>
              <w:top w:val="nil"/>
              <w:bottom w:val="single" w:color="auto" w:sz="4" w:space="0"/>
              <w:right w:val="nil"/>
            </w:tcBorders>
            <w:shd w:val="clear" w:color="auto" w:fill="auto"/>
            <w:vAlign w:val="bottom"/>
          </w:tcPr>
          <w:p>
            <w:pPr>
              <w:widowControl/>
              <w:rPr>
                <w:rFonts w:ascii="仿宋_GB2312" w:hAnsi="宋体" w:eastAsia="仿宋_GB2312" w:cs="宋体"/>
                <w:bCs/>
                <w:kern w:val="0"/>
                <w:sz w:val="24"/>
                <w:szCs w:val="24"/>
              </w:rPr>
            </w:pPr>
            <w:r>
              <w:rPr>
                <w:rFonts w:hint="eastAsia" w:ascii="仿宋_GB2312" w:hAnsi="宋体" w:eastAsia="仿宋_GB2312" w:cs="宋体"/>
                <w:bCs/>
                <w:kern w:val="0"/>
                <w:sz w:val="24"/>
                <w:szCs w:val="24"/>
              </w:rPr>
              <w:t>负责人：</w:t>
            </w:r>
          </w:p>
        </w:tc>
        <w:tc>
          <w:tcPr>
            <w:tcW w:w="1437" w:type="dxa"/>
            <w:gridSpan w:val="2"/>
            <w:tcBorders>
              <w:bottom w:val="single" w:color="auto" w:sz="4" w:space="0"/>
            </w:tcBorders>
            <w:shd w:val="clear" w:color="auto" w:fill="auto"/>
            <w:vAlign w:val="center"/>
          </w:tcPr>
          <w:p>
            <w:pPr>
              <w:widowControl/>
              <w:rPr>
                <w:rFonts w:ascii="仿宋_GB2312" w:hAnsi="宋体" w:eastAsia="仿宋_GB2312" w:cs="宋体"/>
                <w:bCs/>
                <w:kern w:val="0"/>
                <w:sz w:val="24"/>
                <w:szCs w:val="24"/>
              </w:rPr>
            </w:pPr>
            <w:r>
              <w:rPr>
                <w:rFonts w:hint="eastAsia" w:ascii="仿宋_GB2312" w:hAnsi="宋体" w:eastAsia="仿宋_GB2312" w:cs="宋体"/>
                <w:bCs/>
                <w:kern w:val="0"/>
                <w:sz w:val="24"/>
                <w:szCs w:val="24"/>
              </w:rPr>
              <w:t>财务部</w:t>
            </w:r>
          </w:p>
        </w:tc>
        <w:tc>
          <w:tcPr>
            <w:tcW w:w="3751" w:type="dxa"/>
            <w:gridSpan w:val="3"/>
            <w:tcBorders>
              <w:top w:val="nil"/>
              <w:bottom w:val="single" w:color="auto" w:sz="4" w:space="0"/>
            </w:tcBorders>
            <w:shd w:val="clear" w:color="auto" w:fill="auto"/>
            <w:vAlign w:val="bottom"/>
          </w:tcPr>
          <w:p>
            <w:pPr>
              <w:widowControl/>
              <w:rPr>
                <w:rFonts w:ascii="仿宋_GB2312" w:hAnsi="宋体" w:eastAsia="仿宋_GB2312" w:cs="宋体"/>
                <w:bCs/>
                <w:kern w:val="0"/>
                <w:sz w:val="24"/>
                <w:szCs w:val="24"/>
              </w:rPr>
            </w:pPr>
            <w:r>
              <w:rPr>
                <w:rFonts w:hint="eastAsia" w:ascii="仿宋_GB2312" w:hAnsi="宋体" w:eastAsia="仿宋_GB2312" w:cs="宋体"/>
                <w:bCs/>
                <w:kern w:val="0"/>
                <w:sz w:val="24"/>
                <w:szCs w:val="24"/>
              </w:rPr>
              <w:t>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259" w:type="dxa"/>
            <w:tcBorders>
              <w:bottom w:val="single" w:color="auto" w:sz="4" w:space="0"/>
              <w:right w:val="nil"/>
            </w:tcBorders>
            <w:shd w:val="clear" w:color="auto" w:fill="auto"/>
            <w:noWrap/>
            <w:vAlign w:val="center"/>
          </w:tcPr>
          <w:p>
            <w:pPr>
              <w:widowControl/>
              <w:rPr>
                <w:rFonts w:ascii="仿宋_GB2312" w:hAnsi="宋体" w:eastAsia="仿宋_GB2312" w:cs="宋体"/>
                <w:bCs/>
                <w:kern w:val="0"/>
                <w:sz w:val="24"/>
                <w:szCs w:val="24"/>
              </w:rPr>
            </w:pPr>
          </w:p>
        </w:tc>
        <w:tc>
          <w:tcPr>
            <w:tcW w:w="3524" w:type="dxa"/>
            <w:gridSpan w:val="3"/>
            <w:tcBorders>
              <w:top w:val="nil"/>
              <w:bottom w:val="single" w:color="auto" w:sz="4" w:space="0"/>
              <w:right w:val="nil"/>
            </w:tcBorders>
            <w:shd w:val="clear" w:color="auto" w:fill="auto"/>
            <w:vAlign w:val="center"/>
          </w:tcPr>
          <w:p>
            <w:pPr>
              <w:widowControl/>
              <w:jc w:val="left"/>
              <w:rPr>
                <w:rFonts w:ascii="仿宋_GB2312" w:hAnsi="宋体" w:eastAsia="仿宋_GB2312" w:cs="宋体"/>
                <w:bCs/>
                <w:kern w:val="0"/>
                <w:sz w:val="24"/>
                <w:szCs w:val="24"/>
              </w:rPr>
            </w:pPr>
          </w:p>
        </w:tc>
        <w:tc>
          <w:tcPr>
            <w:tcW w:w="1437" w:type="dxa"/>
            <w:gridSpan w:val="2"/>
            <w:tcBorders>
              <w:bottom w:val="single" w:color="auto" w:sz="4" w:space="0"/>
            </w:tcBorders>
            <w:shd w:val="clear" w:color="auto" w:fill="auto"/>
            <w:vAlign w:val="center"/>
          </w:tcPr>
          <w:p>
            <w:pPr>
              <w:widowControl/>
              <w:rPr>
                <w:rFonts w:ascii="仿宋_GB2312" w:hAnsi="宋体" w:eastAsia="仿宋_GB2312" w:cs="宋体"/>
                <w:bCs/>
                <w:kern w:val="0"/>
                <w:sz w:val="24"/>
                <w:szCs w:val="24"/>
              </w:rPr>
            </w:pPr>
          </w:p>
        </w:tc>
        <w:tc>
          <w:tcPr>
            <w:tcW w:w="3751" w:type="dxa"/>
            <w:gridSpan w:val="3"/>
            <w:tcBorders>
              <w:top w:val="nil"/>
              <w:bottom w:val="single" w:color="auto" w:sz="4" w:space="0"/>
            </w:tcBorders>
            <w:shd w:val="clear" w:color="auto" w:fill="auto"/>
            <w:vAlign w:val="center"/>
          </w:tcPr>
          <w:p>
            <w:pPr>
              <w:widowControl/>
              <w:jc w:val="left"/>
              <w:rPr>
                <w:rFonts w:ascii="仿宋_GB2312" w:hAnsi="宋体" w:eastAsia="仿宋_GB2312" w:cs="宋体"/>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259" w:type="dxa"/>
            <w:tcBorders>
              <w:bottom w:val="single" w:color="auto" w:sz="4" w:space="0"/>
              <w:right w:val="nil"/>
            </w:tcBorders>
            <w:shd w:val="clear" w:color="auto" w:fill="auto"/>
            <w:noWrap/>
            <w:vAlign w:val="center"/>
          </w:tcPr>
          <w:p>
            <w:pPr>
              <w:widowControl/>
              <w:rPr>
                <w:rFonts w:ascii="仿宋_GB2312" w:hAnsi="宋体" w:eastAsia="仿宋_GB2312" w:cs="宋体"/>
                <w:bCs/>
                <w:kern w:val="0"/>
                <w:sz w:val="24"/>
                <w:szCs w:val="24"/>
              </w:rPr>
            </w:pPr>
          </w:p>
        </w:tc>
        <w:tc>
          <w:tcPr>
            <w:tcW w:w="3524" w:type="dxa"/>
            <w:gridSpan w:val="3"/>
            <w:tcBorders>
              <w:top w:val="nil"/>
              <w:bottom w:val="single" w:color="auto" w:sz="4" w:space="0"/>
              <w:right w:val="nil"/>
            </w:tcBorders>
            <w:shd w:val="clear" w:color="auto" w:fill="auto"/>
            <w:vAlign w:val="center"/>
          </w:tcPr>
          <w:p>
            <w:pPr>
              <w:widowControl/>
              <w:jc w:val="left"/>
              <w:rPr>
                <w:rFonts w:ascii="仿宋_GB2312" w:hAnsi="宋体" w:eastAsia="仿宋_GB2312" w:cs="宋体"/>
                <w:bCs/>
                <w:kern w:val="0"/>
                <w:sz w:val="24"/>
                <w:szCs w:val="24"/>
              </w:rPr>
            </w:pPr>
          </w:p>
        </w:tc>
        <w:tc>
          <w:tcPr>
            <w:tcW w:w="1437" w:type="dxa"/>
            <w:gridSpan w:val="2"/>
            <w:tcBorders>
              <w:bottom w:val="single" w:color="auto" w:sz="4" w:space="0"/>
            </w:tcBorders>
            <w:shd w:val="clear" w:color="auto" w:fill="auto"/>
            <w:vAlign w:val="center"/>
          </w:tcPr>
          <w:p>
            <w:pPr>
              <w:widowControl/>
              <w:rPr>
                <w:rFonts w:ascii="仿宋_GB2312" w:hAnsi="宋体" w:eastAsia="仿宋_GB2312" w:cs="宋体"/>
                <w:bCs/>
                <w:kern w:val="0"/>
                <w:sz w:val="24"/>
                <w:szCs w:val="24"/>
              </w:rPr>
            </w:pPr>
          </w:p>
        </w:tc>
        <w:tc>
          <w:tcPr>
            <w:tcW w:w="3751" w:type="dxa"/>
            <w:gridSpan w:val="3"/>
            <w:tcBorders>
              <w:top w:val="nil"/>
              <w:bottom w:val="single" w:color="auto" w:sz="4" w:space="0"/>
            </w:tcBorders>
            <w:shd w:val="clear" w:color="auto" w:fill="auto"/>
            <w:vAlign w:val="center"/>
          </w:tcPr>
          <w:p>
            <w:pPr>
              <w:widowControl/>
              <w:jc w:val="left"/>
              <w:rPr>
                <w:rFonts w:ascii="仿宋_GB2312" w:hAnsi="宋体" w:eastAsia="仿宋_GB2312" w:cs="宋体"/>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9971" w:type="dxa"/>
            <w:gridSpan w:val="9"/>
            <w:shd w:val="clear" w:color="auto" w:fill="auto"/>
            <w:noWrap/>
            <w:vAlign w:val="center"/>
          </w:tcPr>
          <w:p>
            <w:pPr>
              <w:widowControl/>
              <w:tabs>
                <w:tab w:val="left" w:pos="3128"/>
                <w:tab w:val="left" w:pos="6349"/>
              </w:tabs>
              <w:rPr>
                <w:rFonts w:ascii="仿宋_GB2312" w:hAnsi="宋体" w:eastAsia="仿宋_GB2312" w:cs="宋体"/>
                <w:kern w:val="0"/>
                <w:sz w:val="24"/>
                <w:szCs w:val="24"/>
              </w:rPr>
            </w:pPr>
            <w:r>
              <w:rPr>
                <w:rFonts w:hint="eastAsia" w:ascii="仿宋_GB2312" w:hAnsi="宋体" w:eastAsia="仿宋_GB2312" w:cs="宋体"/>
                <w:bCs/>
                <w:kern w:val="0"/>
                <w:sz w:val="24"/>
                <w:szCs w:val="24"/>
              </w:rPr>
              <w:t>原使用人：</w:t>
            </w:r>
            <w:r>
              <w:rPr>
                <w:rFonts w:ascii="仿宋_GB2312" w:hAnsi="宋体" w:eastAsia="仿宋_GB2312" w:cs="宋体"/>
                <w:bCs/>
                <w:kern w:val="0"/>
                <w:sz w:val="24"/>
                <w:szCs w:val="24"/>
              </w:rPr>
              <w:tab/>
            </w:r>
            <w:r>
              <w:rPr>
                <w:rFonts w:hint="eastAsia" w:ascii="仿宋_GB2312" w:hAnsi="宋体" w:eastAsia="仿宋_GB2312" w:cs="宋体"/>
                <w:bCs/>
                <w:kern w:val="0"/>
                <w:sz w:val="24"/>
                <w:szCs w:val="24"/>
              </w:rPr>
              <w:t>现使用人</w:t>
            </w:r>
            <w:r>
              <w:rPr>
                <w:rFonts w:hint="eastAsia" w:ascii="仿宋_GB2312" w:hAnsi="宋体" w:eastAsia="仿宋_GB2312" w:cs="宋体"/>
                <w:bCs/>
                <w:kern w:val="0"/>
                <w:szCs w:val="21"/>
              </w:rPr>
              <w:t>：</w:t>
            </w:r>
            <w:r>
              <w:rPr>
                <w:rFonts w:ascii="仿宋_GB2312" w:hAnsi="宋体" w:eastAsia="仿宋_GB2312" w:cs="宋体"/>
                <w:bCs/>
                <w:kern w:val="0"/>
                <w:szCs w:val="21"/>
              </w:rPr>
              <w:tab/>
            </w:r>
            <w:r>
              <w:rPr>
                <w:rFonts w:hint="eastAsia" w:ascii="仿宋_GB2312" w:hAnsi="宋体" w:eastAsia="仿宋_GB2312" w:cs="宋体"/>
                <w:bCs/>
                <w:kern w:val="0"/>
                <w:sz w:val="24"/>
                <w:szCs w:val="24"/>
              </w:rPr>
              <w:t>资产管理员：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jc w:val="center"/>
        </w:trPr>
        <w:tc>
          <w:tcPr>
            <w:tcW w:w="9971" w:type="dxa"/>
            <w:gridSpan w:val="9"/>
            <w:shd w:val="clear" w:color="auto" w:fill="auto"/>
            <w:noWrap/>
            <w:vAlign w:val="center"/>
          </w:tcPr>
          <w:p>
            <w:pPr>
              <w:widowControl/>
              <w:tabs>
                <w:tab w:val="left" w:pos="3128"/>
                <w:tab w:val="left" w:pos="6349"/>
              </w:tabs>
              <w:rPr>
                <w:rFonts w:ascii="仿宋_GB2312" w:hAnsi="宋体" w:eastAsia="仿宋_GB2312" w:cs="宋体"/>
                <w:bCs/>
                <w:kern w:val="0"/>
                <w:sz w:val="24"/>
                <w:szCs w:val="24"/>
              </w:rPr>
            </w:pPr>
            <w:r>
              <w:rPr>
                <w:rFonts w:hint="eastAsia" w:asciiTheme="minorEastAsia" w:hAnsiTheme="minorEastAsia"/>
                <w:szCs w:val="21"/>
              </w:rPr>
              <w:t>资财行管中心总经理</w:t>
            </w:r>
            <w:r>
              <w:rPr>
                <w:rFonts w:hint="eastAsia" w:ascii="仿宋_GB2312" w:hAnsi="宋体" w:eastAsia="仿宋_GB2312" w:cs="宋体"/>
                <w:bCs/>
                <w:kern w:val="0"/>
                <w:sz w:val="24"/>
                <w:szCs w:val="24"/>
              </w:rPr>
              <w:t>：</w:t>
            </w:r>
          </w:p>
        </w:tc>
      </w:tr>
    </w:tbl>
    <w:p>
      <w:pPr>
        <w:rPr>
          <w:rFonts w:asciiTheme="minorEastAsia" w:hAnsiTheme="minorEastAsia"/>
          <w:szCs w:val="21"/>
        </w:rPr>
      </w:pPr>
    </w:p>
    <w:p>
      <w:pPr>
        <w:spacing w:line="360" w:lineRule="auto"/>
        <w:jc w:val="center"/>
        <w:rPr>
          <w:rFonts w:ascii="宋体" w:hAnsi="宋体" w:eastAsia="宋体"/>
          <w:b/>
          <w:sz w:val="44"/>
          <w:szCs w:val="44"/>
        </w:rPr>
      </w:pPr>
    </w:p>
    <w:p>
      <w:pPr>
        <w:spacing w:line="360" w:lineRule="auto"/>
        <w:jc w:val="center"/>
        <w:rPr>
          <w:rFonts w:ascii="宋体" w:hAnsi="宋体" w:eastAsia="宋体"/>
          <w:b/>
          <w:sz w:val="44"/>
          <w:szCs w:val="44"/>
        </w:rPr>
      </w:pPr>
    </w:p>
    <w:p>
      <w:pPr>
        <w:spacing w:line="360" w:lineRule="auto"/>
        <w:jc w:val="center"/>
        <w:rPr>
          <w:rFonts w:ascii="宋体" w:hAnsi="宋体" w:eastAsia="宋体"/>
          <w:b/>
          <w:sz w:val="44"/>
          <w:szCs w:val="44"/>
        </w:rPr>
      </w:pPr>
    </w:p>
    <w:p>
      <w:pPr>
        <w:spacing w:line="360" w:lineRule="auto"/>
        <w:jc w:val="center"/>
        <w:rPr>
          <w:rFonts w:ascii="宋体" w:hAnsi="宋体" w:eastAsia="宋体"/>
          <w:b/>
          <w:sz w:val="44"/>
          <w:szCs w:val="44"/>
        </w:rPr>
      </w:pPr>
    </w:p>
    <w:p>
      <w:pPr>
        <w:spacing w:line="360" w:lineRule="auto"/>
        <w:jc w:val="center"/>
        <w:rPr>
          <w:rFonts w:ascii="宋体" w:hAnsi="宋体" w:eastAsia="宋体"/>
          <w:b/>
          <w:sz w:val="44"/>
          <w:szCs w:val="44"/>
        </w:rPr>
      </w:pPr>
      <w:r>
        <w:rPr>
          <w:rFonts w:hint="eastAsia" w:ascii="宋体" w:hAnsi="宋体" w:eastAsia="宋体"/>
          <w:b/>
          <w:sz w:val="44"/>
          <w:szCs w:val="44"/>
        </w:rPr>
        <w:t>固定资产处置申请单</w:t>
      </w:r>
    </w:p>
    <w:p>
      <w:pPr>
        <w:tabs>
          <w:tab w:val="left" w:pos="6270"/>
          <w:tab w:val="left" w:pos="7797"/>
        </w:tabs>
        <w:spacing w:line="360" w:lineRule="auto"/>
        <w:ind w:firstLine="3600" w:firstLineChars="1500"/>
        <w:rPr>
          <w:rFonts w:ascii="仿宋_GB2312" w:eastAsia="仿宋_GB2312"/>
          <w:sz w:val="24"/>
          <w:szCs w:val="24"/>
        </w:rPr>
      </w:pPr>
      <w:r>
        <w:rPr>
          <w:rFonts w:hint="eastAsia" w:ascii="仿宋_GB2312" w:eastAsia="仿宋_GB2312"/>
          <w:sz w:val="24"/>
          <w:szCs w:val="24"/>
        </w:rPr>
        <w:t xml:space="preserve"> 年   月   日</w:t>
      </w:r>
      <w:r>
        <w:rPr>
          <w:rFonts w:hint="eastAsia" w:ascii="仿宋_GB2312" w:eastAsia="仿宋_GB2312"/>
          <w:sz w:val="24"/>
          <w:szCs w:val="24"/>
        </w:rPr>
        <w:tab/>
      </w:r>
      <w:r>
        <w:rPr>
          <w:rFonts w:hint="eastAsia" w:ascii="仿宋_GB2312" w:eastAsia="仿宋_GB2312"/>
          <w:sz w:val="24"/>
          <w:szCs w:val="24"/>
        </w:rPr>
        <w:t>单号：</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0"/>
        <w:gridCol w:w="1420"/>
        <w:gridCol w:w="1420"/>
        <w:gridCol w:w="1420"/>
        <w:gridCol w:w="1421"/>
        <w:gridCol w:w="14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1420" w:type="dxa"/>
            <w:vAlign w:val="center"/>
          </w:tcPr>
          <w:p>
            <w:pPr>
              <w:jc w:val="center"/>
              <w:rPr>
                <w:rFonts w:ascii="宋体" w:hAnsi="宋体" w:eastAsia="宋体" w:cs="Times New Roman"/>
                <w:kern w:val="0"/>
                <w:sz w:val="18"/>
                <w:szCs w:val="18"/>
              </w:rPr>
            </w:pPr>
            <w:r>
              <w:rPr>
                <w:rFonts w:hint="eastAsia" w:ascii="宋体" w:hAnsi="宋体" w:eastAsia="宋体" w:cs="Times New Roman"/>
                <w:kern w:val="0"/>
                <w:sz w:val="18"/>
                <w:szCs w:val="18"/>
              </w:rPr>
              <w:t>资产编号</w:t>
            </w:r>
          </w:p>
        </w:tc>
        <w:tc>
          <w:tcPr>
            <w:tcW w:w="1420" w:type="dxa"/>
            <w:vAlign w:val="center"/>
          </w:tcPr>
          <w:p>
            <w:pPr>
              <w:jc w:val="center"/>
              <w:rPr>
                <w:rFonts w:ascii="宋体" w:hAnsi="宋体" w:eastAsia="宋体" w:cs="Times New Roman"/>
                <w:kern w:val="0"/>
                <w:sz w:val="18"/>
                <w:szCs w:val="18"/>
              </w:rPr>
            </w:pPr>
          </w:p>
        </w:tc>
        <w:tc>
          <w:tcPr>
            <w:tcW w:w="1420" w:type="dxa"/>
            <w:vAlign w:val="center"/>
          </w:tcPr>
          <w:p>
            <w:pPr>
              <w:jc w:val="center"/>
              <w:rPr>
                <w:rFonts w:ascii="宋体" w:hAnsi="宋体" w:eastAsia="宋体" w:cs="Times New Roman"/>
                <w:kern w:val="0"/>
                <w:sz w:val="18"/>
                <w:szCs w:val="18"/>
              </w:rPr>
            </w:pPr>
            <w:r>
              <w:rPr>
                <w:rFonts w:hint="eastAsia" w:ascii="宋体" w:hAnsi="宋体" w:eastAsia="宋体" w:cs="Times New Roman"/>
                <w:kern w:val="0"/>
                <w:sz w:val="18"/>
                <w:szCs w:val="18"/>
              </w:rPr>
              <w:t>资产名称</w:t>
            </w:r>
          </w:p>
        </w:tc>
        <w:tc>
          <w:tcPr>
            <w:tcW w:w="1420" w:type="dxa"/>
            <w:vAlign w:val="center"/>
          </w:tcPr>
          <w:p>
            <w:pPr>
              <w:jc w:val="center"/>
              <w:rPr>
                <w:rFonts w:ascii="宋体" w:hAnsi="宋体" w:eastAsia="宋体" w:cs="Times New Roman"/>
                <w:kern w:val="0"/>
                <w:sz w:val="18"/>
                <w:szCs w:val="18"/>
              </w:rPr>
            </w:pPr>
          </w:p>
        </w:tc>
        <w:tc>
          <w:tcPr>
            <w:tcW w:w="1421" w:type="dxa"/>
            <w:vAlign w:val="center"/>
          </w:tcPr>
          <w:p>
            <w:pPr>
              <w:jc w:val="center"/>
              <w:rPr>
                <w:rFonts w:ascii="宋体" w:hAnsi="宋体" w:eastAsia="宋体" w:cs="Times New Roman"/>
                <w:kern w:val="0"/>
                <w:sz w:val="18"/>
                <w:szCs w:val="18"/>
              </w:rPr>
            </w:pPr>
            <w:r>
              <w:rPr>
                <w:rFonts w:hint="eastAsia" w:ascii="宋体" w:hAnsi="宋体" w:eastAsia="宋体" w:cs="Times New Roman"/>
                <w:kern w:val="0"/>
                <w:sz w:val="18"/>
                <w:szCs w:val="18"/>
              </w:rPr>
              <w:t>规格型号</w:t>
            </w:r>
          </w:p>
        </w:tc>
        <w:tc>
          <w:tcPr>
            <w:tcW w:w="1421" w:type="dxa"/>
            <w:vAlign w:val="center"/>
          </w:tcPr>
          <w:p>
            <w:pPr>
              <w:jc w:val="center"/>
              <w:rPr>
                <w:rFonts w:ascii="宋体" w:hAnsi="宋体" w:eastAsia="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420" w:type="dxa"/>
            <w:vAlign w:val="center"/>
          </w:tcPr>
          <w:p>
            <w:pPr>
              <w:jc w:val="center"/>
              <w:rPr>
                <w:rFonts w:ascii="宋体" w:hAnsi="宋体" w:eastAsia="宋体" w:cs="Times New Roman"/>
                <w:kern w:val="0"/>
                <w:sz w:val="18"/>
                <w:szCs w:val="18"/>
              </w:rPr>
            </w:pPr>
            <w:r>
              <w:rPr>
                <w:rFonts w:hint="eastAsia" w:ascii="宋体" w:hAnsi="宋体" w:eastAsia="宋体" w:cs="Times New Roman"/>
                <w:kern w:val="0"/>
                <w:sz w:val="18"/>
                <w:szCs w:val="18"/>
              </w:rPr>
              <w:t>资产类别</w:t>
            </w:r>
          </w:p>
        </w:tc>
        <w:tc>
          <w:tcPr>
            <w:tcW w:w="1420" w:type="dxa"/>
            <w:vAlign w:val="center"/>
          </w:tcPr>
          <w:p>
            <w:pPr>
              <w:jc w:val="center"/>
              <w:rPr>
                <w:rFonts w:ascii="宋体" w:hAnsi="宋体" w:eastAsia="宋体" w:cs="Times New Roman"/>
                <w:kern w:val="0"/>
                <w:sz w:val="18"/>
                <w:szCs w:val="18"/>
              </w:rPr>
            </w:pPr>
          </w:p>
        </w:tc>
        <w:tc>
          <w:tcPr>
            <w:tcW w:w="1420" w:type="dxa"/>
            <w:vAlign w:val="center"/>
          </w:tcPr>
          <w:p>
            <w:pPr>
              <w:jc w:val="center"/>
              <w:rPr>
                <w:rFonts w:ascii="宋体" w:hAnsi="宋体" w:eastAsia="宋体" w:cs="Times New Roman"/>
                <w:kern w:val="0"/>
                <w:sz w:val="18"/>
                <w:szCs w:val="18"/>
              </w:rPr>
            </w:pPr>
            <w:r>
              <w:rPr>
                <w:rFonts w:hint="eastAsia" w:ascii="宋体" w:hAnsi="宋体" w:eastAsia="宋体" w:cs="Arial"/>
                <w:color w:val="333333"/>
                <w:kern w:val="0"/>
                <w:sz w:val="18"/>
                <w:szCs w:val="18"/>
              </w:rPr>
              <w:t>单位</w:t>
            </w:r>
          </w:p>
        </w:tc>
        <w:tc>
          <w:tcPr>
            <w:tcW w:w="1420" w:type="dxa"/>
            <w:vAlign w:val="center"/>
          </w:tcPr>
          <w:p>
            <w:pPr>
              <w:jc w:val="center"/>
              <w:rPr>
                <w:rFonts w:ascii="宋体" w:hAnsi="宋体" w:eastAsia="宋体" w:cs="Times New Roman"/>
                <w:kern w:val="0"/>
                <w:sz w:val="18"/>
                <w:szCs w:val="18"/>
              </w:rPr>
            </w:pPr>
          </w:p>
        </w:tc>
        <w:tc>
          <w:tcPr>
            <w:tcW w:w="1421" w:type="dxa"/>
            <w:vAlign w:val="center"/>
          </w:tcPr>
          <w:p>
            <w:pPr>
              <w:jc w:val="center"/>
              <w:rPr>
                <w:rFonts w:ascii="宋体" w:hAnsi="宋体" w:eastAsia="宋体" w:cs="Times New Roman"/>
                <w:kern w:val="0"/>
                <w:sz w:val="18"/>
                <w:szCs w:val="18"/>
              </w:rPr>
            </w:pPr>
            <w:r>
              <w:rPr>
                <w:rFonts w:hint="eastAsia" w:ascii="宋体" w:hAnsi="宋体" w:eastAsia="宋体" w:cs="Times New Roman"/>
                <w:kern w:val="0"/>
                <w:sz w:val="18"/>
                <w:szCs w:val="18"/>
              </w:rPr>
              <w:t>数量</w:t>
            </w:r>
          </w:p>
        </w:tc>
        <w:tc>
          <w:tcPr>
            <w:tcW w:w="1421" w:type="dxa"/>
            <w:vAlign w:val="center"/>
          </w:tcPr>
          <w:p>
            <w:pPr>
              <w:jc w:val="center"/>
              <w:rPr>
                <w:rFonts w:ascii="宋体" w:hAnsi="宋体" w:eastAsia="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420" w:type="dxa"/>
            <w:vAlign w:val="center"/>
          </w:tcPr>
          <w:p>
            <w:pPr>
              <w:jc w:val="center"/>
              <w:rPr>
                <w:rFonts w:ascii="宋体" w:hAnsi="宋体" w:eastAsia="宋体" w:cs="Times New Roman"/>
                <w:kern w:val="0"/>
                <w:sz w:val="18"/>
                <w:szCs w:val="18"/>
              </w:rPr>
            </w:pPr>
            <w:r>
              <w:rPr>
                <w:rFonts w:hint="eastAsia" w:ascii="宋体" w:hAnsi="宋体" w:eastAsia="宋体" w:cs="Times New Roman"/>
                <w:kern w:val="0"/>
                <w:sz w:val="18"/>
                <w:szCs w:val="18"/>
              </w:rPr>
              <w:t>资产原值</w:t>
            </w:r>
          </w:p>
        </w:tc>
        <w:tc>
          <w:tcPr>
            <w:tcW w:w="1420" w:type="dxa"/>
            <w:vAlign w:val="center"/>
          </w:tcPr>
          <w:p>
            <w:pPr>
              <w:jc w:val="center"/>
              <w:rPr>
                <w:rFonts w:ascii="宋体" w:hAnsi="宋体" w:eastAsia="宋体" w:cs="Times New Roman"/>
                <w:kern w:val="0"/>
                <w:sz w:val="18"/>
                <w:szCs w:val="18"/>
              </w:rPr>
            </w:pPr>
          </w:p>
        </w:tc>
        <w:tc>
          <w:tcPr>
            <w:tcW w:w="1420" w:type="dxa"/>
            <w:vAlign w:val="center"/>
          </w:tcPr>
          <w:p>
            <w:pPr>
              <w:jc w:val="center"/>
              <w:rPr>
                <w:rFonts w:ascii="宋体" w:hAnsi="宋体" w:eastAsia="宋体" w:cs="Times New Roman"/>
                <w:kern w:val="0"/>
                <w:sz w:val="18"/>
                <w:szCs w:val="18"/>
              </w:rPr>
            </w:pPr>
            <w:r>
              <w:rPr>
                <w:rFonts w:hint="eastAsia" w:ascii="宋体" w:hAnsi="宋体" w:eastAsia="宋体" w:cs="Times New Roman"/>
                <w:kern w:val="0"/>
                <w:sz w:val="18"/>
                <w:szCs w:val="18"/>
              </w:rPr>
              <w:t>资产净值</w:t>
            </w:r>
          </w:p>
        </w:tc>
        <w:tc>
          <w:tcPr>
            <w:tcW w:w="1420" w:type="dxa"/>
            <w:vAlign w:val="center"/>
          </w:tcPr>
          <w:p>
            <w:pPr>
              <w:jc w:val="center"/>
              <w:rPr>
                <w:rFonts w:ascii="宋体" w:hAnsi="宋体" w:eastAsia="宋体" w:cs="Times New Roman"/>
                <w:kern w:val="0"/>
                <w:sz w:val="18"/>
                <w:szCs w:val="18"/>
              </w:rPr>
            </w:pPr>
          </w:p>
        </w:tc>
        <w:tc>
          <w:tcPr>
            <w:tcW w:w="1421" w:type="dxa"/>
            <w:vAlign w:val="center"/>
          </w:tcPr>
          <w:p>
            <w:pPr>
              <w:jc w:val="center"/>
              <w:rPr>
                <w:rFonts w:ascii="宋体" w:hAnsi="宋体" w:eastAsia="宋体" w:cs="Times New Roman"/>
                <w:kern w:val="0"/>
                <w:sz w:val="18"/>
                <w:szCs w:val="18"/>
              </w:rPr>
            </w:pPr>
            <w:r>
              <w:rPr>
                <w:rFonts w:hint="eastAsia" w:ascii="宋体" w:hAnsi="宋体" w:eastAsia="宋体" w:cs="Times New Roman"/>
                <w:kern w:val="0"/>
                <w:sz w:val="18"/>
                <w:szCs w:val="18"/>
              </w:rPr>
              <w:t>规定使用年限</w:t>
            </w:r>
          </w:p>
        </w:tc>
        <w:tc>
          <w:tcPr>
            <w:tcW w:w="1421" w:type="dxa"/>
            <w:vAlign w:val="center"/>
          </w:tcPr>
          <w:p>
            <w:pPr>
              <w:jc w:val="center"/>
              <w:rPr>
                <w:rFonts w:ascii="宋体" w:hAnsi="宋体" w:eastAsia="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420" w:type="dxa"/>
            <w:vAlign w:val="center"/>
          </w:tcPr>
          <w:p>
            <w:pPr>
              <w:jc w:val="center"/>
              <w:rPr>
                <w:rFonts w:ascii="宋体" w:hAnsi="宋体" w:eastAsia="宋体" w:cs="Times New Roman"/>
                <w:kern w:val="0"/>
                <w:sz w:val="18"/>
                <w:szCs w:val="18"/>
              </w:rPr>
            </w:pPr>
            <w:r>
              <w:rPr>
                <w:rFonts w:hint="eastAsia" w:ascii="宋体" w:hAnsi="宋体" w:eastAsia="宋体" w:cs="Times New Roman"/>
                <w:kern w:val="0"/>
                <w:sz w:val="18"/>
                <w:szCs w:val="18"/>
              </w:rPr>
              <w:t>实际使用年限</w:t>
            </w:r>
          </w:p>
        </w:tc>
        <w:tc>
          <w:tcPr>
            <w:tcW w:w="1420" w:type="dxa"/>
            <w:vAlign w:val="center"/>
          </w:tcPr>
          <w:p>
            <w:pPr>
              <w:jc w:val="center"/>
              <w:rPr>
                <w:rFonts w:ascii="宋体" w:hAnsi="宋体" w:eastAsia="宋体" w:cs="Times New Roman"/>
                <w:kern w:val="0"/>
                <w:sz w:val="18"/>
                <w:szCs w:val="18"/>
              </w:rPr>
            </w:pPr>
          </w:p>
        </w:tc>
        <w:tc>
          <w:tcPr>
            <w:tcW w:w="1420" w:type="dxa"/>
            <w:vAlign w:val="center"/>
          </w:tcPr>
          <w:p>
            <w:pPr>
              <w:jc w:val="center"/>
              <w:rPr>
                <w:rFonts w:ascii="宋体" w:hAnsi="宋体" w:eastAsia="宋体" w:cs="Times New Roman"/>
                <w:kern w:val="0"/>
                <w:sz w:val="18"/>
                <w:szCs w:val="18"/>
              </w:rPr>
            </w:pPr>
            <w:r>
              <w:rPr>
                <w:rFonts w:hint="eastAsia" w:ascii="宋体" w:hAnsi="宋体" w:eastAsia="宋体" w:cs="Times New Roman"/>
                <w:kern w:val="0"/>
                <w:sz w:val="18"/>
                <w:szCs w:val="18"/>
              </w:rPr>
              <w:t>使用部门</w:t>
            </w:r>
          </w:p>
        </w:tc>
        <w:tc>
          <w:tcPr>
            <w:tcW w:w="1420" w:type="dxa"/>
            <w:vAlign w:val="center"/>
          </w:tcPr>
          <w:p>
            <w:pPr>
              <w:jc w:val="center"/>
              <w:rPr>
                <w:rFonts w:ascii="宋体" w:hAnsi="宋体" w:eastAsia="宋体" w:cs="Times New Roman"/>
                <w:kern w:val="0"/>
                <w:sz w:val="18"/>
                <w:szCs w:val="18"/>
              </w:rPr>
            </w:pPr>
          </w:p>
        </w:tc>
        <w:tc>
          <w:tcPr>
            <w:tcW w:w="1421" w:type="dxa"/>
            <w:vAlign w:val="center"/>
          </w:tcPr>
          <w:p>
            <w:pPr>
              <w:jc w:val="center"/>
              <w:rPr>
                <w:rFonts w:ascii="宋体" w:hAnsi="宋体" w:eastAsia="宋体" w:cs="Times New Roman"/>
                <w:kern w:val="0"/>
                <w:sz w:val="18"/>
                <w:szCs w:val="18"/>
              </w:rPr>
            </w:pPr>
            <w:r>
              <w:rPr>
                <w:rFonts w:hint="eastAsia" w:ascii="宋体" w:hAnsi="宋体" w:eastAsia="宋体" w:cs="Times New Roman"/>
                <w:kern w:val="0"/>
                <w:sz w:val="18"/>
                <w:szCs w:val="18"/>
              </w:rPr>
              <w:t>使用人</w:t>
            </w:r>
          </w:p>
        </w:tc>
        <w:tc>
          <w:tcPr>
            <w:tcW w:w="1421" w:type="dxa"/>
            <w:vAlign w:val="center"/>
          </w:tcPr>
          <w:p>
            <w:pPr>
              <w:jc w:val="center"/>
              <w:rPr>
                <w:rFonts w:ascii="宋体" w:hAnsi="宋体" w:eastAsia="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1420" w:type="dxa"/>
            <w:vAlign w:val="center"/>
          </w:tcPr>
          <w:p>
            <w:pPr>
              <w:jc w:val="center"/>
              <w:rPr>
                <w:rFonts w:ascii="宋体" w:hAnsi="宋体" w:eastAsia="宋体" w:cs="Times New Roman"/>
                <w:kern w:val="0"/>
                <w:sz w:val="18"/>
                <w:szCs w:val="18"/>
              </w:rPr>
            </w:pPr>
            <w:r>
              <w:rPr>
                <w:rFonts w:hint="eastAsia" w:ascii="宋体" w:hAnsi="宋体" w:eastAsia="宋体" w:cs="Times New Roman"/>
                <w:kern w:val="0"/>
                <w:sz w:val="18"/>
                <w:szCs w:val="18"/>
              </w:rPr>
              <w:t>生产厂家</w:t>
            </w:r>
          </w:p>
        </w:tc>
        <w:tc>
          <w:tcPr>
            <w:tcW w:w="4260" w:type="dxa"/>
            <w:gridSpan w:val="3"/>
            <w:vAlign w:val="center"/>
          </w:tcPr>
          <w:p>
            <w:pPr>
              <w:jc w:val="center"/>
              <w:rPr>
                <w:rFonts w:ascii="宋体" w:hAnsi="宋体" w:eastAsia="宋体" w:cs="Times New Roman"/>
                <w:kern w:val="0"/>
                <w:sz w:val="18"/>
                <w:szCs w:val="18"/>
              </w:rPr>
            </w:pPr>
          </w:p>
        </w:tc>
        <w:tc>
          <w:tcPr>
            <w:tcW w:w="1421" w:type="dxa"/>
            <w:vAlign w:val="center"/>
          </w:tcPr>
          <w:p>
            <w:pPr>
              <w:jc w:val="center"/>
              <w:rPr>
                <w:rFonts w:ascii="宋体" w:hAnsi="宋体" w:eastAsia="宋体" w:cs="Times New Roman"/>
                <w:kern w:val="0"/>
                <w:sz w:val="18"/>
                <w:szCs w:val="18"/>
              </w:rPr>
            </w:pPr>
            <w:r>
              <w:rPr>
                <w:rFonts w:hint="eastAsia" w:ascii="宋体" w:hAnsi="宋体" w:eastAsia="宋体" w:cs="Arial"/>
                <w:color w:val="333333"/>
                <w:kern w:val="0"/>
                <w:sz w:val="18"/>
                <w:szCs w:val="18"/>
              </w:rPr>
              <w:t>安装地点</w:t>
            </w:r>
          </w:p>
        </w:tc>
        <w:tc>
          <w:tcPr>
            <w:tcW w:w="1421" w:type="dxa"/>
            <w:vAlign w:val="center"/>
          </w:tcPr>
          <w:p>
            <w:pPr>
              <w:jc w:val="center"/>
              <w:rPr>
                <w:rFonts w:ascii="宋体" w:hAnsi="宋体" w:eastAsia="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420" w:type="dxa"/>
            <w:vAlign w:val="center"/>
          </w:tcPr>
          <w:p>
            <w:pPr>
              <w:jc w:val="center"/>
              <w:rPr>
                <w:rFonts w:ascii="宋体" w:hAnsi="宋体" w:eastAsia="宋体" w:cs="Times New Roman"/>
                <w:kern w:val="0"/>
                <w:sz w:val="18"/>
                <w:szCs w:val="18"/>
              </w:rPr>
            </w:pPr>
            <w:r>
              <w:rPr>
                <w:rFonts w:hint="eastAsia" w:ascii="宋体" w:hAnsi="宋体" w:eastAsia="宋体" w:cs="Times New Roman"/>
                <w:kern w:val="0"/>
                <w:sz w:val="18"/>
                <w:szCs w:val="18"/>
              </w:rPr>
              <w:t>处置形式</w:t>
            </w:r>
          </w:p>
        </w:tc>
        <w:tc>
          <w:tcPr>
            <w:tcW w:w="7102" w:type="dxa"/>
            <w:gridSpan w:val="5"/>
            <w:vAlign w:val="center"/>
          </w:tcPr>
          <w:p>
            <w:pPr>
              <w:rPr>
                <w:rFonts w:ascii="宋体" w:hAnsi="宋体" w:eastAsia="宋体" w:cs="Times New Roman"/>
                <w:kern w:val="0"/>
                <w:sz w:val="18"/>
                <w:szCs w:val="18"/>
                <w:u w:val="single"/>
              </w:rPr>
            </w:pPr>
            <w:r>
              <w:rPr>
                <w:rFonts w:hint="eastAsia" w:ascii="宋体" w:hAnsi="宋体" w:eastAsia="宋体" w:cs="Times New Roman"/>
                <w:kern w:val="0"/>
                <w:sz w:val="18"/>
                <w:szCs w:val="18"/>
              </w:rPr>
              <w:t>盘盈</w:t>
            </w:r>
            <w:r>
              <w:rPr>
                <w:rFonts w:hint="eastAsia" w:ascii="宋体" w:hAnsi="宋体" w:eastAsia="宋体" w:cs="Times New Roman"/>
                <w:kern w:val="0"/>
                <w:sz w:val="21"/>
                <w:szCs w:val="21"/>
              </w:rPr>
              <w:t xml:space="preserve"> □</w:t>
            </w:r>
            <w:r>
              <w:rPr>
                <w:rFonts w:hint="eastAsia" w:ascii="宋体" w:hAnsi="宋体" w:eastAsia="宋体" w:cs="Times New Roman"/>
                <w:kern w:val="0"/>
                <w:sz w:val="18"/>
                <w:szCs w:val="18"/>
              </w:rPr>
              <w:t xml:space="preserve">  盘亏 </w:t>
            </w:r>
            <w:r>
              <w:rPr>
                <w:rFonts w:hint="eastAsia" w:ascii="宋体" w:hAnsi="宋体" w:eastAsia="宋体" w:cs="Times New Roman"/>
                <w:kern w:val="0"/>
                <w:sz w:val="21"/>
                <w:szCs w:val="21"/>
              </w:rPr>
              <w:t>□</w:t>
            </w:r>
            <w:r>
              <w:rPr>
                <w:rFonts w:hint="eastAsia" w:ascii="宋体" w:hAnsi="宋体" w:eastAsia="宋体" w:cs="Times New Roman"/>
                <w:kern w:val="0"/>
                <w:sz w:val="18"/>
                <w:szCs w:val="18"/>
              </w:rPr>
              <w:t xml:space="preserve"> 报废  </w:t>
            </w:r>
            <w:r>
              <w:rPr>
                <w:rFonts w:hint="eastAsia" w:ascii="宋体" w:hAnsi="宋体" w:eastAsia="宋体" w:cs="Times New Roman"/>
                <w:kern w:val="0"/>
                <w:sz w:val="21"/>
                <w:szCs w:val="21"/>
              </w:rPr>
              <w:t>□</w:t>
            </w:r>
            <w:r>
              <w:rPr>
                <w:rFonts w:hint="eastAsia" w:ascii="宋体" w:hAnsi="宋体" w:eastAsia="宋体" w:cs="Times New Roman"/>
                <w:kern w:val="0"/>
                <w:sz w:val="18"/>
                <w:szCs w:val="18"/>
              </w:rPr>
              <w:t xml:space="preserve"> 出售 </w:t>
            </w:r>
            <w:r>
              <w:rPr>
                <w:rFonts w:hint="eastAsia" w:ascii="宋体" w:hAnsi="宋体" w:eastAsia="宋体" w:cs="Times New Roman"/>
                <w:kern w:val="0"/>
                <w:sz w:val="21"/>
                <w:szCs w:val="21"/>
              </w:rPr>
              <w:t>□</w:t>
            </w:r>
            <w:r>
              <w:rPr>
                <w:rFonts w:hint="eastAsia" w:ascii="宋体" w:hAnsi="宋体" w:eastAsia="宋体" w:cs="Times New Roman"/>
                <w:kern w:val="0"/>
                <w:sz w:val="18"/>
                <w:szCs w:val="18"/>
              </w:rPr>
              <w:t xml:space="preserve"> 出租 </w:t>
            </w:r>
            <w:r>
              <w:rPr>
                <w:rFonts w:hint="eastAsia" w:ascii="宋体" w:hAnsi="宋体" w:eastAsia="宋体" w:cs="Times New Roman"/>
                <w:kern w:val="0"/>
                <w:sz w:val="21"/>
                <w:szCs w:val="21"/>
              </w:rPr>
              <w:t>□</w:t>
            </w:r>
            <w:r>
              <w:rPr>
                <w:rFonts w:hint="eastAsia" w:ascii="宋体" w:hAnsi="宋体" w:eastAsia="宋体" w:cs="Times New Roman"/>
                <w:kern w:val="0"/>
                <w:sz w:val="18"/>
                <w:szCs w:val="18"/>
              </w:rPr>
              <w:t xml:space="preserve"> 出借  </w:t>
            </w:r>
            <w:r>
              <w:rPr>
                <w:rFonts w:hint="eastAsia" w:ascii="宋体" w:hAnsi="宋体" w:eastAsia="宋体" w:cs="Times New Roman"/>
                <w:kern w:val="0"/>
                <w:sz w:val="21"/>
                <w:szCs w:val="21"/>
              </w:rPr>
              <w:t>□</w:t>
            </w:r>
            <w:r>
              <w:rPr>
                <w:rFonts w:hint="eastAsia" w:ascii="宋体" w:hAnsi="宋体" w:eastAsia="宋体" w:cs="Times New Roman"/>
                <w:kern w:val="0"/>
                <w:sz w:val="18"/>
                <w:szCs w:val="18"/>
              </w:rPr>
              <w:t xml:space="preserve"> 其他</w:t>
            </w:r>
            <w:r>
              <w:rPr>
                <w:rFonts w:hint="eastAsia" w:ascii="宋体" w:hAnsi="宋体" w:eastAsia="宋体" w:cs="Times New Roman"/>
                <w:kern w:val="0"/>
                <w:sz w:val="18"/>
                <w:szCs w:val="18"/>
                <w:u w:val="single"/>
              </w:rPr>
              <w:t>______________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5" w:hRule="atLeast"/>
        </w:trPr>
        <w:tc>
          <w:tcPr>
            <w:tcW w:w="1420" w:type="dxa"/>
            <w:vAlign w:val="center"/>
          </w:tcPr>
          <w:p>
            <w:pPr>
              <w:jc w:val="center"/>
              <w:rPr>
                <w:rFonts w:ascii="宋体" w:hAnsi="宋体" w:eastAsia="宋体" w:cs="Times New Roman"/>
                <w:kern w:val="0"/>
                <w:sz w:val="18"/>
                <w:szCs w:val="18"/>
              </w:rPr>
            </w:pPr>
            <w:r>
              <w:rPr>
                <w:rFonts w:hint="eastAsia" w:ascii="宋体" w:hAnsi="宋体" w:eastAsia="宋体" w:cs="Times New Roman"/>
                <w:kern w:val="0"/>
                <w:sz w:val="18"/>
                <w:szCs w:val="18"/>
              </w:rPr>
              <w:t>处置原因</w:t>
            </w:r>
          </w:p>
        </w:tc>
        <w:tc>
          <w:tcPr>
            <w:tcW w:w="7102" w:type="dxa"/>
            <w:gridSpan w:val="5"/>
            <w:vAlign w:val="center"/>
          </w:tcPr>
          <w:p>
            <w:pPr>
              <w:jc w:val="left"/>
              <w:rPr>
                <w:rFonts w:ascii="宋体" w:hAnsi="宋体" w:eastAsia="宋体" w:cs="Times New Roman"/>
                <w:kern w:val="0"/>
                <w:sz w:val="18"/>
                <w:szCs w:val="18"/>
              </w:rPr>
            </w:pPr>
          </w:p>
          <w:p>
            <w:pPr>
              <w:jc w:val="left"/>
              <w:rPr>
                <w:rFonts w:ascii="宋体" w:hAnsi="宋体" w:eastAsia="宋体" w:cs="Times New Roman"/>
                <w:kern w:val="0"/>
                <w:sz w:val="18"/>
                <w:szCs w:val="18"/>
              </w:rPr>
            </w:pPr>
          </w:p>
          <w:p>
            <w:pPr>
              <w:jc w:val="left"/>
              <w:rPr>
                <w:rFonts w:ascii="宋体" w:hAnsi="宋体" w:eastAsia="宋体" w:cs="Times New Roman"/>
                <w:kern w:val="0"/>
                <w:sz w:val="18"/>
                <w:szCs w:val="18"/>
              </w:rPr>
            </w:pPr>
          </w:p>
          <w:p>
            <w:pPr>
              <w:jc w:val="left"/>
              <w:rPr>
                <w:rFonts w:ascii="宋体" w:hAnsi="宋体" w:eastAsia="宋体" w:cs="Times New Roman"/>
                <w:kern w:val="0"/>
                <w:sz w:val="18"/>
                <w:szCs w:val="18"/>
              </w:rPr>
            </w:pPr>
          </w:p>
          <w:p>
            <w:pPr>
              <w:jc w:val="left"/>
              <w:rPr>
                <w:rFonts w:ascii="宋体" w:hAnsi="宋体" w:eastAsia="宋体" w:cs="Times New Roman"/>
                <w:kern w:val="0"/>
                <w:sz w:val="18"/>
                <w:szCs w:val="18"/>
              </w:rPr>
            </w:pPr>
            <w:r>
              <w:rPr>
                <w:rFonts w:hint="eastAsia" w:ascii="宋体" w:hAnsi="宋体" w:eastAsia="宋体" w:cs="Times New Roman"/>
                <w:kern w:val="0"/>
                <w:sz w:val="18"/>
                <w:szCs w:val="18"/>
              </w:rPr>
              <w:t>提请人：</w:t>
            </w:r>
          </w:p>
          <w:p>
            <w:pPr>
              <w:jc w:val="center"/>
              <w:rPr>
                <w:rFonts w:ascii="宋体" w:hAnsi="宋体" w:eastAsia="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4" w:hRule="atLeast"/>
        </w:trPr>
        <w:tc>
          <w:tcPr>
            <w:tcW w:w="1420" w:type="dxa"/>
            <w:vAlign w:val="center"/>
          </w:tcPr>
          <w:p>
            <w:pPr>
              <w:jc w:val="center"/>
              <w:rPr>
                <w:rFonts w:ascii="宋体" w:hAnsi="宋体" w:eastAsia="宋体" w:cs="Times New Roman"/>
                <w:kern w:val="0"/>
                <w:sz w:val="18"/>
                <w:szCs w:val="18"/>
              </w:rPr>
            </w:pPr>
            <w:r>
              <w:rPr>
                <w:rFonts w:hint="eastAsia" w:ascii="宋体" w:hAnsi="宋体" w:eastAsia="宋体" w:cs="Times New Roman"/>
                <w:kern w:val="0"/>
                <w:sz w:val="18"/>
                <w:szCs w:val="18"/>
              </w:rPr>
              <w:t>鉴定意见</w:t>
            </w:r>
          </w:p>
        </w:tc>
        <w:tc>
          <w:tcPr>
            <w:tcW w:w="7102" w:type="dxa"/>
            <w:gridSpan w:val="5"/>
            <w:vAlign w:val="center"/>
          </w:tcPr>
          <w:p>
            <w:pPr>
              <w:jc w:val="left"/>
              <w:rPr>
                <w:rFonts w:ascii="宋体" w:hAnsi="宋体" w:eastAsia="宋体" w:cs="Times New Roman"/>
                <w:kern w:val="0"/>
                <w:sz w:val="18"/>
                <w:szCs w:val="18"/>
              </w:rPr>
            </w:pPr>
          </w:p>
          <w:p>
            <w:pPr>
              <w:jc w:val="left"/>
              <w:rPr>
                <w:rFonts w:ascii="宋体" w:hAnsi="宋体" w:eastAsia="宋体" w:cs="Times New Roman"/>
                <w:kern w:val="0"/>
                <w:sz w:val="18"/>
                <w:szCs w:val="18"/>
              </w:rPr>
            </w:pPr>
          </w:p>
          <w:p>
            <w:pPr>
              <w:jc w:val="left"/>
              <w:rPr>
                <w:rFonts w:ascii="宋体" w:hAnsi="宋体" w:eastAsia="宋体" w:cs="Times New Roman"/>
                <w:kern w:val="0"/>
                <w:sz w:val="18"/>
                <w:szCs w:val="18"/>
              </w:rPr>
            </w:pPr>
          </w:p>
          <w:p>
            <w:pPr>
              <w:jc w:val="left"/>
              <w:rPr>
                <w:rFonts w:ascii="宋体" w:hAnsi="宋体" w:eastAsia="宋体" w:cs="Times New Roman"/>
                <w:kern w:val="0"/>
                <w:sz w:val="18"/>
                <w:szCs w:val="18"/>
              </w:rPr>
            </w:pPr>
          </w:p>
          <w:p>
            <w:pPr>
              <w:jc w:val="left"/>
              <w:rPr>
                <w:rFonts w:ascii="宋体" w:hAnsi="宋体" w:eastAsia="宋体" w:cs="Times New Roman"/>
                <w:kern w:val="0"/>
                <w:sz w:val="18"/>
                <w:szCs w:val="18"/>
              </w:rPr>
            </w:pPr>
            <w:r>
              <w:rPr>
                <w:rFonts w:hint="eastAsia" w:ascii="宋体" w:hAnsi="宋体" w:eastAsia="宋体" w:cs="Times New Roman"/>
                <w:kern w:val="0"/>
                <w:sz w:val="18"/>
                <w:szCs w:val="18"/>
              </w:rPr>
              <w:t>参加鉴定人员：</w:t>
            </w:r>
          </w:p>
          <w:p>
            <w:pPr>
              <w:jc w:val="left"/>
              <w:rPr>
                <w:rFonts w:ascii="宋体" w:hAnsi="宋体" w:eastAsia="宋体"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trPr>
        <w:tc>
          <w:tcPr>
            <w:tcW w:w="1420" w:type="dxa"/>
            <w:vAlign w:val="center"/>
          </w:tcPr>
          <w:p>
            <w:pPr>
              <w:jc w:val="center"/>
              <w:rPr>
                <w:rFonts w:ascii="宋体" w:hAnsi="宋体" w:eastAsia="宋体" w:cs="Times New Roman"/>
                <w:kern w:val="0"/>
                <w:sz w:val="18"/>
                <w:szCs w:val="18"/>
              </w:rPr>
            </w:pPr>
            <w:r>
              <w:rPr>
                <w:rFonts w:hint="eastAsia" w:ascii="宋体" w:hAnsi="宋体" w:eastAsia="宋体" w:cs="Times New Roman"/>
                <w:kern w:val="0"/>
                <w:sz w:val="18"/>
                <w:szCs w:val="18"/>
              </w:rPr>
              <w:t>使用部门</w:t>
            </w:r>
          </w:p>
        </w:tc>
        <w:tc>
          <w:tcPr>
            <w:tcW w:w="1420" w:type="dxa"/>
            <w:vAlign w:val="bottom"/>
          </w:tcPr>
          <w:p>
            <w:pP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负责人：</w:t>
            </w:r>
          </w:p>
        </w:tc>
        <w:tc>
          <w:tcPr>
            <w:tcW w:w="1420" w:type="dxa"/>
            <w:vAlign w:val="center"/>
          </w:tcPr>
          <w:p>
            <w:pPr>
              <w:jc w:val="center"/>
              <w:rPr>
                <w:rFonts w:ascii="Times New Roman" w:hAnsi="Times New Roman" w:eastAsia="宋体" w:cs="Times New Roman"/>
                <w:kern w:val="0"/>
                <w:sz w:val="20"/>
                <w:szCs w:val="20"/>
              </w:rPr>
            </w:pPr>
            <w:r>
              <w:rPr>
                <w:rFonts w:hint="eastAsia" w:ascii="宋体" w:hAnsi="宋体" w:eastAsia="宋体" w:cs="Times New Roman"/>
                <w:kern w:val="0"/>
                <w:sz w:val="18"/>
                <w:szCs w:val="18"/>
              </w:rPr>
              <w:t>综合管理部</w:t>
            </w:r>
          </w:p>
        </w:tc>
        <w:tc>
          <w:tcPr>
            <w:tcW w:w="1420" w:type="dxa"/>
            <w:vAlign w:val="bottom"/>
          </w:tcPr>
          <w:p>
            <w:pP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负责人：</w:t>
            </w:r>
          </w:p>
        </w:tc>
        <w:tc>
          <w:tcPr>
            <w:tcW w:w="1421" w:type="dxa"/>
            <w:vAlign w:val="center"/>
          </w:tcPr>
          <w:p>
            <w:pPr>
              <w:jc w:val="center"/>
              <w:rPr>
                <w:rFonts w:ascii="宋体" w:hAnsi="宋体" w:eastAsia="宋体" w:cs="Times New Roman"/>
                <w:kern w:val="0"/>
                <w:sz w:val="18"/>
                <w:szCs w:val="18"/>
              </w:rPr>
            </w:pPr>
            <w:r>
              <w:rPr>
                <w:rFonts w:hint="eastAsia" w:ascii="宋体" w:hAnsi="宋体" w:eastAsia="宋体" w:cs="Times New Roman"/>
                <w:kern w:val="0"/>
                <w:sz w:val="18"/>
                <w:szCs w:val="18"/>
              </w:rPr>
              <w:t>财务部</w:t>
            </w:r>
          </w:p>
        </w:tc>
        <w:tc>
          <w:tcPr>
            <w:tcW w:w="1421" w:type="dxa"/>
            <w:vAlign w:val="bottom"/>
          </w:tcPr>
          <w:p>
            <w:pPr>
              <w:rPr>
                <w:rFonts w:ascii="宋体" w:hAnsi="宋体" w:eastAsia="宋体" w:cs="Times New Roman"/>
                <w:kern w:val="0"/>
                <w:sz w:val="18"/>
                <w:szCs w:val="18"/>
              </w:rPr>
            </w:pPr>
            <w:r>
              <w:rPr>
                <w:rFonts w:hint="eastAsia" w:ascii="宋体" w:hAnsi="宋体" w:eastAsia="宋体" w:cs="Times New Roman"/>
                <w:kern w:val="0"/>
                <w:sz w:val="18"/>
                <w:szCs w:val="18"/>
              </w:rPr>
              <w:t>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trPr>
        <w:tc>
          <w:tcPr>
            <w:tcW w:w="8522" w:type="dxa"/>
            <w:gridSpan w:val="6"/>
            <w:vAlign w:val="center"/>
          </w:tcPr>
          <w:p>
            <w:pPr>
              <w:rPr>
                <w:rFonts w:ascii="宋体" w:hAnsi="宋体" w:eastAsia="宋体" w:cs="Times New Roman"/>
                <w:kern w:val="0"/>
                <w:sz w:val="18"/>
                <w:szCs w:val="18"/>
              </w:rPr>
            </w:pPr>
            <w:r>
              <w:rPr>
                <w:rFonts w:hint="eastAsia" w:ascii="宋体" w:hAnsi="宋体" w:eastAsia="宋体" w:cs="Times New Roman"/>
                <w:kern w:val="0"/>
                <w:sz w:val="18"/>
                <w:szCs w:val="18"/>
              </w:rPr>
              <w:t>中心总经理（签字）：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2" w:hRule="atLeast"/>
        </w:trPr>
        <w:tc>
          <w:tcPr>
            <w:tcW w:w="8522" w:type="dxa"/>
            <w:gridSpan w:val="6"/>
            <w:vAlign w:val="center"/>
          </w:tcPr>
          <w:p>
            <w:pPr>
              <w:rPr>
                <w:rFonts w:ascii="宋体" w:hAnsi="宋体" w:eastAsia="宋体" w:cs="Times New Roman"/>
                <w:kern w:val="0"/>
                <w:sz w:val="18"/>
                <w:szCs w:val="18"/>
              </w:rPr>
            </w:pPr>
            <w:r>
              <w:rPr>
                <w:rFonts w:hint="eastAsia" w:ascii="宋体" w:hAnsi="宋体" w:eastAsia="宋体" w:cs="Times New Roman"/>
                <w:kern w:val="0"/>
                <w:sz w:val="18"/>
                <w:szCs w:val="18"/>
              </w:rPr>
              <w:t>资财中心总经理（签字）：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trPr>
        <w:tc>
          <w:tcPr>
            <w:tcW w:w="8522" w:type="dxa"/>
            <w:gridSpan w:val="6"/>
            <w:vAlign w:val="center"/>
          </w:tcPr>
          <w:p>
            <w:pPr>
              <w:rPr>
                <w:rFonts w:ascii="宋体" w:hAnsi="宋体" w:eastAsia="宋体" w:cs="Times New Roman"/>
                <w:kern w:val="0"/>
                <w:sz w:val="18"/>
                <w:szCs w:val="18"/>
              </w:rPr>
            </w:pPr>
            <w:r>
              <w:rPr>
                <w:rFonts w:hint="eastAsia" w:ascii="宋体" w:hAnsi="宋体" w:eastAsia="宋体" w:cs="Times New Roman"/>
                <w:kern w:val="0"/>
                <w:sz w:val="18"/>
                <w:szCs w:val="18"/>
              </w:rPr>
              <w:t>总经理（签字）：</w:t>
            </w:r>
          </w:p>
        </w:tc>
      </w:tr>
    </w:tbl>
    <w:p>
      <w:pPr>
        <w:rPr>
          <w:rFonts w:asciiTheme="minorEastAsia" w:hAnsiTheme="minorEastAsia"/>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E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4415B6"/>
    <w:multiLevelType w:val="multilevel"/>
    <w:tmpl w:val="574415B6"/>
    <w:lvl w:ilvl="0" w:tentative="0">
      <w:start w:val="3"/>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
    <w:nsid w:val="74332603"/>
    <w:multiLevelType w:val="multilevel"/>
    <w:tmpl w:val="74332603"/>
    <w:lvl w:ilvl="0" w:tentative="0">
      <w:start w:val="9"/>
      <w:numFmt w:val="decimal"/>
      <w:lvlText w:val="%1、"/>
      <w:lvlJc w:val="left"/>
      <w:pPr>
        <w:ind w:left="780" w:hanging="360"/>
      </w:pPr>
      <w:rPr>
        <w:rFonts w:hint="default" w:cstheme="minorBidi"/>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5747E1"/>
    <w:rsid w:val="000014D9"/>
    <w:rsid w:val="00006E21"/>
    <w:rsid w:val="00011A22"/>
    <w:rsid w:val="00024A29"/>
    <w:rsid w:val="00033DD8"/>
    <w:rsid w:val="00065108"/>
    <w:rsid w:val="000709C4"/>
    <w:rsid w:val="000822CC"/>
    <w:rsid w:val="000902BF"/>
    <w:rsid w:val="00090D5E"/>
    <w:rsid w:val="000A2E8A"/>
    <w:rsid w:val="000A4518"/>
    <w:rsid w:val="000B2CF8"/>
    <w:rsid w:val="000B6E3C"/>
    <w:rsid w:val="000C3590"/>
    <w:rsid w:val="000C4CCB"/>
    <w:rsid w:val="000E0A70"/>
    <w:rsid w:val="000E3607"/>
    <w:rsid w:val="000E6286"/>
    <w:rsid w:val="000F5489"/>
    <w:rsid w:val="00102AAA"/>
    <w:rsid w:val="0010636E"/>
    <w:rsid w:val="001130ED"/>
    <w:rsid w:val="0012330C"/>
    <w:rsid w:val="0013327E"/>
    <w:rsid w:val="00146C4C"/>
    <w:rsid w:val="00150324"/>
    <w:rsid w:val="00150BCA"/>
    <w:rsid w:val="001518B7"/>
    <w:rsid w:val="00154503"/>
    <w:rsid w:val="00156DEA"/>
    <w:rsid w:val="001676E7"/>
    <w:rsid w:val="00176276"/>
    <w:rsid w:val="00181CDD"/>
    <w:rsid w:val="00183B82"/>
    <w:rsid w:val="0019083A"/>
    <w:rsid w:val="00192510"/>
    <w:rsid w:val="0019332C"/>
    <w:rsid w:val="001A0205"/>
    <w:rsid w:val="001B115F"/>
    <w:rsid w:val="001B350E"/>
    <w:rsid w:val="001B370C"/>
    <w:rsid w:val="001B5277"/>
    <w:rsid w:val="001B6298"/>
    <w:rsid w:val="001B7A59"/>
    <w:rsid w:val="001C6859"/>
    <w:rsid w:val="001E0C9B"/>
    <w:rsid w:val="001F2358"/>
    <w:rsid w:val="00223091"/>
    <w:rsid w:val="00223256"/>
    <w:rsid w:val="0022599A"/>
    <w:rsid w:val="002259DC"/>
    <w:rsid w:val="0023148E"/>
    <w:rsid w:val="00232279"/>
    <w:rsid w:val="0023467B"/>
    <w:rsid w:val="00240501"/>
    <w:rsid w:val="002416AE"/>
    <w:rsid w:val="00242F69"/>
    <w:rsid w:val="00246924"/>
    <w:rsid w:val="00247060"/>
    <w:rsid w:val="00274EF2"/>
    <w:rsid w:val="00281C55"/>
    <w:rsid w:val="00287139"/>
    <w:rsid w:val="00290967"/>
    <w:rsid w:val="002921CE"/>
    <w:rsid w:val="002A020A"/>
    <w:rsid w:val="002A10C8"/>
    <w:rsid w:val="002A229F"/>
    <w:rsid w:val="002A75A6"/>
    <w:rsid w:val="002B2DDF"/>
    <w:rsid w:val="002B4690"/>
    <w:rsid w:val="002B4EE9"/>
    <w:rsid w:val="002C1200"/>
    <w:rsid w:val="002C150E"/>
    <w:rsid w:val="002D21A2"/>
    <w:rsid w:val="002E1CC0"/>
    <w:rsid w:val="002E59DB"/>
    <w:rsid w:val="002F3F91"/>
    <w:rsid w:val="003017B4"/>
    <w:rsid w:val="00321295"/>
    <w:rsid w:val="003425B1"/>
    <w:rsid w:val="00351E6C"/>
    <w:rsid w:val="00352BA7"/>
    <w:rsid w:val="00366CFF"/>
    <w:rsid w:val="00370F2E"/>
    <w:rsid w:val="003712D8"/>
    <w:rsid w:val="00372454"/>
    <w:rsid w:val="00375D52"/>
    <w:rsid w:val="00375D9E"/>
    <w:rsid w:val="003762A1"/>
    <w:rsid w:val="003819A8"/>
    <w:rsid w:val="00383619"/>
    <w:rsid w:val="00396AA0"/>
    <w:rsid w:val="003A60CB"/>
    <w:rsid w:val="003C1B4D"/>
    <w:rsid w:val="003C6991"/>
    <w:rsid w:val="003D5E72"/>
    <w:rsid w:val="003E2268"/>
    <w:rsid w:val="003E4BF5"/>
    <w:rsid w:val="003F0CE1"/>
    <w:rsid w:val="003F58D9"/>
    <w:rsid w:val="003F7519"/>
    <w:rsid w:val="00403F9C"/>
    <w:rsid w:val="00412E15"/>
    <w:rsid w:val="00421322"/>
    <w:rsid w:val="0042697C"/>
    <w:rsid w:val="00432547"/>
    <w:rsid w:val="00437EFF"/>
    <w:rsid w:val="004403F7"/>
    <w:rsid w:val="00443B0D"/>
    <w:rsid w:val="0045201F"/>
    <w:rsid w:val="00474A7F"/>
    <w:rsid w:val="004928D2"/>
    <w:rsid w:val="004B5B29"/>
    <w:rsid w:val="004B6DC3"/>
    <w:rsid w:val="004C3C65"/>
    <w:rsid w:val="004C56CB"/>
    <w:rsid w:val="004D1C9A"/>
    <w:rsid w:val="004D2F29"/>
    <w:rsid w:val="004D3D23"/>
    <w:rsid w:val="004D3F86"/>
    <w:rsid w:val="004E03DD"/>
    <w:rsid w:val="004F346B"/>
    <w:rsid w:val="005075ED"/>
    <w:rsid w:val="00511F85"/>
    <w:rsid w:val="00515FDB"/>
    <w:rsid w:val="00520BDB"/>
    <w:rsid w:val="005213A4"/>
    <w:rsid w:val="005348C6"/>
    <w:rsid w:val="00537F60"/>
    <w:rsid w:val="00543541"/>
    <w:rsid w:val="00545676"/>
    <w:rsid w:val="00550769"/>
    <w:rsid w:val="005561D6"/>
    <w:rsid w:val="00560469"/>
    <w:rsid w:val="00571576"/>
    <w:rsid w:val="005747E1"/>
    <w:rsid w:val="00575C5E"/>
    <w:rsid w:val="00576241"/>
    <w:rsid w:val="005763DA"/>
    <w:rsid w:val="00576B6E"/>
    <w:rsid w:val="00582B25"/>
    <w:rsid w:val="00595EED"/>
    <w:rsid w:val="00597276"/>
    <w:rsid w:val="005A641E"/>
    <w:rsid w:val="005B4A23"/>
    <w:rsid w:val="005B70A8"/>
    <w:rsid w:val="005D26A2"/>
    <w:rsid w:val="005F19A0"/>
    <w:rsid w:val="006027CA"/>
    <w:rsid w:val="006044A7"/>
    <w:rsid w:val="00604735"/>
    <w:rsid w:val="0060743E"/>
    <w:rsid w:val="0061659E"/>
    <w:rsid w:val="006320B2"/>
    <w:rsid w:val="00633636"/>
    <w:rsid w:val="006360F0"/>
    <w:rsid w:val="00640206"/>
    <w:rsid w:val="00642AC8"/>
    <w:rsid w:val="00647EEC"/>
    <w:rsid w:val="00653341"/>
    <w:rsid w:val="00653D85"/>
    <w:rsid w:val="0065581C"/>
    <w:rsid w:val="00661322"/>
    <w:rsid w:val="00665B70"/>
    <w:rsid w:val="00667EE8"/>
    <w:rsid w:val="00672553"/>
    <w:rsid w:val="0067711C"/>
    <w:rsid w:val="00677646"/>
    <w:rsid w:val="00683139"/>
    <w:rsid w:val="006901EC"/>
    <w:rsid w:val="006A7A2B"/>
    <w:rsid w:val="006B31DC"/>
    <w:rsid w:val="007118E4"/>
    <w:rsid w:val="00735770"/>
    <w:rsid w:val="00751E14"/>
    <w:rsid w:val="007532DC"/>
    <w:rsid w:val="0077525E"/>
    <w:rsid w:val="007804BC"/>
    <w:rsid w:val="00780B96"/>
    <w:rsid w:val="00786451"/>
    <w:rsid w:val="00791B11"/>
    <w:rsid w:val="007922DA"/>
    <w:rsid w:val="007960A5"/>
    <w:rsid w:val="007A0B27"/>
    <w:rsid w:val="007A39B2"/>
    <w:rsid w:val="007A6BBD"/>
    <w:rsid w:val="007A7C2C"/>
    <w:rsid w:val="007B0B4B"/>
    <w:rsid w:val="007B2038"/>
    <w:rsid w:val="007B3DA2"/>
    <w:rsid w:val="007D7784"/>
    <w:rsid w:val="007E61BD"/>
    <w:rsid w:val="007F5E39"/>
    <w:rsid w:val="007F72AB"/>
    <w:rsid w:val="0080080F"/>
    <w:rsid w:val="00801B3E"/>
    <w:rsid w:val="00807570"/>
    <w:rsid w:val="00810D52"/>
    <w:rsid w:val="00813D93"/>
    <w:rsid w:val="00823FD4"/>
    <w:rsid w:val="008329A7"/>
    <w:rsid w:val="00845446"/>
    <w:rsid w:val="00852F2C"/>
    <w:rsid w:val="0085519B"/>
    <w:rsid w:val="00856585"/>
    <w:rsid w:val="0087018E"/>
    <w:rsid w:val="0087513E"/>
    <w:rsid w:val="00876230"/>
    <w:rsid w:val="0088232D"/>
    <w:rsid w:val="0088235A"/>
    <w:rsid w:val="008875FF"/>
    <w:rsid w:val="00893AAC"/>
    <w:rsid w:val="008A127A"/>
    <w:rsid w:val="008A1773"/>
    <w:rsid w:val="008D2124"/>
    <w:rsid w:val="008D31AE"/>
    <w:rsid w:val="008D4D16"/>
    <w:rsid w:val="008D533C"/>
    <w:rsid w:val="008E3E26"/>
    <w:rsid w:val="008F2093"/>
    <w:rsid w:val="008F505C"/>
    <w:rsid w:val="008F6A5C"/>
    <w:rsid w:val="009042B7"/>
    <w:rsid w:val="00913FC2"/>
    <w:rsid w:val="00914C9A"/>
    <w:rsid w:val="009152BB"/>
    <w:rsid w:val="00916278"/>
    <w:rsid w:val="0092604B"/>
    <w:rsid w:val="009332ED"/>
    <w:rsid w:val="00941E07"/>
    <w:rsid w:val="009520A8"/>
    <w:rsid w:val="00955864"/>
    <w:rsid w:val="00960C39"/>
    <w:rsid w:val="00961438"/>
    <w:rsid w:val="0097371E"/>
    <w:rsid w:val="00974DE8"/>
    <w:rsid w:val="00982E4F"/>
    <w:rsid w:val="00984083"/>
    <w:rsid w:val="009859D2"/>
    <w:rsid w:val="00990645"/>
    <w:rsid w:val="009926E2"/>
    <w:rsid w:val="00997F28"/>
    <w:rsid w:val="009A6ECE"/>
    <w:rsid w:val="009A7AD0"/>
    <w:rsid w:val="009B6EB9"/>
    <w:rsid w:val="009C1B34"/>
    <w:rsid w:val="009C1E06"/>
    <w:rsid w:val="009E5F9B"/>
    <w:rsid w:val="009F2C2D"/>
    <w:rsid w:val="009F6E08"/>
    <w:rsid w:val="00A05191"/>
    <w:rsid w:val="00A07128"/>
    <w:rsid w:val="00A1450F"/>
    <w:rsid w:val="00A266D2"/>
    <w:rsid w:val="00A3377A"/>
    <w:rsid w:val="00A364AB"/>
    <w:rsid w:val="00A44939"/>
    <w:rsid w:val="00A45059"/>
    <w:rsid w:val="00A502D5"/>
    <w:rsid w:val="00A518A2"/>
    <w:rsid w:val="00A66724"/>
    <w:rsid w:val="00A708D9"/>
    <w:rsid w:val="00A80E7D"/>
    <w:rsid w:val="00A857D3"/>
    <w:rsid w:val="00A86781"/>
    <w:rsid w:val="00AA3469"/>
    <w:rsid w:val="00AA562D"/>
    <w:rsid w:val="00AC3FEE"/>
    <w:rsid w:val="00AC5A00"/>
    <w:rsid w:val="00AE057D"/>
    <w:rsid w:val="00AE08DA"/>
    <w:rsid w:val="00AE332D"/>
    <w:rsid w:val="00AF1249"/>
    <w:rsid w:val="00AF4335"/>
    <w:rsid w:val="00B04D02"/>
    <w:rsid w:val="00B0575A"/>
    <w:rsid w:val="00B1090F"/>
    <w:rsid w:val="00B10EF6"/>
    <w:rsid w:val="00B128ED"/>
    <w:rsid w:val="00B2140A"/>
    <w:rsid w:val="00B25C76"/>
    <w:rsid w:val="00B300F9"/>
    <w:rsid w:val="00B30629"/>
    <w:rsid w:val="00B35341"/>
    <w:rsid w:val="00B62212"/>
    <w:rsid w:val="00B71DBB"/>
    <w:rsid w:val="00B72693"/>
    <w:rsid w:val="00B87BED"/>
    <w:rsid w:val="00B921C4"/>
    <w:rsid w:val="00B92326"/>
    <w:rsid w:val="00B94DCC"/>
    <w:rsid w:val="00BA07AF"/>
    <w:rsid w:val="00BA2262"/>
    <w:rsid w:val="00BA34CE"/>
    <w:rsid w:val="00BA52EF"/>
    <w:rsid w:val="00BB0E84"/>
    <w:rsid w:val="00BC6BFE"/>
    <w:rsid w:val="00BC7623"/>
    <w:rsid w:val="00BD0775"/>
    <w:rsid w:val="00BD0DF2"/>
    <w:rsid w:val="00BD1E31"/>
    <w:rsid w:val="00BD2502"/>
    <w:rsid w:val="00BD76EB"/>
    <w:rsid w:val="00BD7924"/>
    <w:rsid w:val="00BE01CA"/>
    <w:rsid w:val="00BE0B6C"/>
    <w:rsid w:val="00BE2DB5"/>
    <w:rsid w:val="00BE2E40"/>
    <w:rsid w:val="00BE3654"/>
    <w:rsid w:val="00BE3710"/>
    <w:rsid w:val="00BF4F83"/>
    <w:rsid w:val="00BF7A77"/>
    <w:rsid w:val="00BF7C85"/>
    <w:rsid w:val="00C0551B"/>
    <w:rsid w:val="00C06E92"/>
    <w:rsid w:val="00C13AB6"/>
    <w:rsid w:val="00C217A4"/>
    <w:rsid w:val="00C252BB"/>
    <w:rsid w:val="00C25789"/>
    <w:rsid w:val="00C25F7B"/>
    <w:rsid w:val="00C32E00"/>
    <w:rsid w:val="00C42265"/>
    <w:rsid w:val="00C50BF7"/>
    <w:rsid w:val="00C512A2"/>
    <w:rsid w:val="00C51312"/>
    <w:rsid w:val="00C6030A"/>
    <w:rsid w:val="00C62139"/>
    <w:rsid w:val="00C64195"/>
    <w:rsid w:val="00C66130"/>
    <w:rsid w:val="00C7125F"/>
    <w:rsid w:val="00C86DF0"/>
    <w:rsid w:val="00C9063A"/>
    <w:rsid w:val="00C91952"/>
    <w:rsid w:val="00C96961"/>
    <w:rsid w:val="00CA1458"/>
    <w:rsid w:val="00CB43FE"/>
    <w:rsid w:val="00CC2C30"/>
    <w:rsid w:val="00CC4270"/>
    <w:rsid w:val="00CD4DC1"/>
    <w:rsid w:val="00CD6FB7"/>
    <w:rsid w:val="00CE1212"/>
    <w:rsid w:val="00CE2F27"/>
    <w:rsid w:val="00CF6506"/>
    <w:rsid w:val="00CF68A4"/>
    <w:rsid w:val="00CF6F4F"/>
    <w:rsid w:val="00D03AF8"/>
    <w:rsid w:val="00D050BC"/>
    <w:rsid w:val="00D07FD2"/>
    <w:rsid w:val="00D11E0E"/>
    <w:rsid w:val="00D17075"/>
    <w:rsid w:val="00D344EE"/>
    <w:rsid w:val="00D47A0E"/>
    <w:rsid w:val="00D52CDD"/>
    <w:rsid w:val="00D732E4"/>
    <w:rsid w:val="00D7355B"/>
    <w:rsid w:val="00D746D6"/>
    <w:rsid w:val="00D922B5"/>
    <w:rsid w:val="00D9348E"/>
    <w:rsid w:val="00DA0A2B"/>
    <w:rsid w:val="00DA1362"/>
    <w:rsid w:val="00DA216A"/>
    <w:rsid w:val="00DA2CB4"/>
    <w:rsid w:val="00DA62C8"/>
    <w:rsid w:val="00DB40AA"/>
    <w:rsid w:val="00DB7485"/>
    <w:rsid w:val="00DC40BB"/>
    <w:rsid w:val="00DC45DD"/>
    <w:rsid w:val="00DC4B25"/>
    <w:rsid w:val="00DF3C0A"/>
    <w:rsid w:val="00DF5CC2"/>
    <w:rsid w:val="00E01914"/>
    <w:rsid w:val="00E02BA2"/>
    <w:rsid w:val="00E116F6"/>
    <w:rsid w:val="00E118FA"/>
    <w:rsid w:val="00E132A4"/>
    <w:rsid w:val="00E14EC5"/>
    <w:rsid w:val="00E25D8D"/>
    <w:rsid w:val="00E3266F"/>
    <w:rsid w:val="00E37D69"/>
    <w:rsid w:val="00E4035F"/>
    <w:rsid w:val="00E410B7"/>
    <w:rsid w:val="00E43842"/>
    <w:rsid w:val="00E57EF4"/>
    <w:rsid w:val="00E71278"/>
    <w:rsid w:val="00E73CEE"/>
    <w:rsid w:val="00E91C9D"/>
    <w:rsid w:val="00E92F5E"/>
    <w:rsid w:val="00EA517B"/>
    <w:rsid w:val="00EB751C"/>
    <w:rsid w:val="00ED754D"/>
    <w:rsid w:val="00EE2E40"/>
    <w:rsid w:val="00EE42EA"/>
    <w:rsid w:val="00EF2A3E"/>
    <w:rsid w:val="00EF3EE5"/>
    <w:rsid w:val="00F0079D"/>
    <w:rsid w:val="00F02A8C"/>
    <w:rsid w:val="00F02B3F"/>
    <w:rsid w:val="00F14BBE"/>
    <w:rsid w:val="00F173C6"/>
    <w:rsid w:val="00F24D62"/>
    <w:rsid w:val="00F3633F"/>
    <w:rsid w:val="00F51A1F"/>
    <w:rsid w:val="00F56E16"/>
    <w:rsid w:val="00F577CE"/>
    <w:rsid w:val="00F839BE"/>
    <w:rsid w:val="00F915EC"/>
    <w:rsid w:val="00F9284E"/>
    <w:rsid w:val="00F92D09"/>
    <w:rsid w:val="00FA0B15"/>
    <w:rsid w:val="00FA2FF9"/>
    <w:rsid w:val="00FA3BB6"/>
    <w:rsid w:val="00FB4884"/>
    <w:rsid w:val="00FC236A"/>
    <w:rsid w:val="00FC5244"/>
    <w:rsid w:val="00FC77DA"/>
    <w:rsid w:val="00FC7A88"/>
    <w:rsid w:val="00FD1688"/>
    <w:rsid w:val="00FD171A"/>
    <w:rsid w:val="00FD3614"/>
    <w:rsid w:val="00FE2921"/>
    <w:rsid w:val="00FE3372"/>
    <w:rsid w:val="00FE52D4"/>
    <w:rsid w:val="00FE6939"/>
    <w:rsid w:val="00FF1179"/>
    <w:rsid w:val="00FF1F46"/>
    <w:rsid w:val="00FF2353"/>
    <w:rsid w:val="00FF79D1"/>
    <w:rsid w:val="32021A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name="toc 1"/>
    <w:lsdException w:unhideWhenUsed="0" w:uiPriority="0" w:name="toc 2"/>
    <w:lsdException w:unhideWhenUsed="0" w:uiPriority="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iPriority="99" w:name="Body Text"/>
    <w:lsdException w:unhideWhenUsed="0" w:uiPriority="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nhideWhenUsed="0" w:uiPriority="0" w:name="Body Text Indent 2"/>
    <w:lsdException w:unhideWhenUsed="0" w:uiPriority="0"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27"/>
    <w:qFormat/>
    <w:uiPriority w:val="0"/>
    <w:pPr>
      <w:keepNext/>
      <w:keepLines/>
      <w:spacing w:before="260" w:after="260" w:line="416" w:lineRule="auto"/>
      <w:outlineLvl w:val="2"/>
    </w:pPr>
    <w:rPr>
      <w:rFonts w:ascii="Times New Roman" w:hAnsi="Times New Roman" w:eastAsia="宋体" w:cs="Times New Roman"/>
      <w:b/>
      <w:bCs/>
      <w:sz w:val="32"/>
      <w:szCs w:val="32"/>
    </w:rPr>
  </w:style>
  <w:style w:type="character" w:default="1" w:styleId="21">
    <w:name w:val="Default Paragraph Font"/>
    <w:semiHidden/>
    <w:unhideWhenUsed/>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33"/>
    <w:semiHidden/>
    <w:unhideWhenUsed/>
    <w:uiPriority w:val="99"/>
    <w:pPr>
      <w:jc w:val="left"/>
    </w:pPr>
    <w:rPr>
      <w:rFonts w:ascii="Calibri" w:hAnsi="Calibri" w:eastAsia="宋体" w:cs="Times New Roman"/>
    </w:rPr>
  </w:style>
  <w:style w:type="paragraph" w:styleId="4">
    <w:name w:val="Body Text"/>
    <w:basedOn w:val="1"/>
    <w:link w:val="35"/>
    <w:semiHidden/>
    <w:unhideWhenUsed/>
    <w:uiPriority w:val="99"/>
    <w:pPr>
      <w:spacing w:after="120"/>
    </w:pPr>
  </w:style>
  <w:style w:type="paragraph" w:styleId="5">
    <w:name w:val="Body Text Indent"/>
    <w:basedOn w:val="1"/>
    <w:link w:val="28"/>
    <w:semiHidden/>
    <w:uiPriority w:val="0"/>
    <w:pPr>
      <w:ind w:left="720" w:hanging="720"/>
    </w:pPr>
    <w:rPr>
      <w:rFonts w:ascii="Times New Roman" w:hAnsi="Times New Roman" w:eastAsia="宋体" w:cs="Times New Roman"/>
      <w:sz w:val="28"/>
      <w:szCs w:val="20"/>
    </w:rPr>
  </w:style>
  <w:style w:type="paragraph" w:styleId="6">
    <w:name w:val="List 2"/>
    <w:basedOn w:val="1"/>
    <w:uiPriority w:val="0"/>
    <w:pPr>
      <w:ind w:left="100" w:leftChars="200" w:hanging="200" w:hangingChars="200"/>
    </w:pPr>
    <w:rPr>
      <w:rFonts w:ascii="宋体" w:hAnsi="宋体" w:eastAsia="宋体" w:cs="Times New Roman"/>
      <w:szCs w:val="21"/>
    </w:rPr>
  </w:style>
  <w:style w:type="paragraph" w:styleId="7">
    <w:name w:val="toc 3"/>
    <w:basedOn w:val="1"/>
    <w:next w:val="1"/>
    <w:semiHidden/>
    <w:uiPriority w:val="0"/>
    <w:pPr>
      <w:tabs>
        <w:tab w:val="right" w:leader="dot" w:pos="8296"/>
      </w:tabs>
      <w:spacing w:line="360" w:lineRule="auto"/>
    </w:pPr>
    <w:rPr>
      <w:rFonts w:cs="Times New Roman" w:asciiTheme="minorEastAsia" w:hAnsiTheme="minorEastAsia"/>
      <w:szCs w:val="21"/>
    </w:rPr>
  </w:style>
  <w:style w:type="paragraph" w:styleId="8">
    <w:name w:val="Date"/>
    <w:basedOn w:val="1"/>
    <w:next w:val="1"/>
    <w:link w:val="38"/>
    <w:semiHidden/>
    <w:unhideWhenUsed/>
    <w:uiPriority w:val="99"/>
    <w:pPr>
      <w:ind w:left="100" w:leftChars="2500"/>
    </w:pPr>
  </w:style>
  <w:style w:type="paragraph" w:styleId="9">
    <w:name w:val="Body Text Indent 2"/>
    <w:basedOn w:val="1"/>
    <w:link w:val="29"/>
    <w:semiHidden/>
    <w:uiPriority w:val="0"/>
    <w:pPr>
      <w:ind w:left="720"/>
    </w:pPr>
    <w:rPr>
      <w:rFonts w:ascii="Times New Roman" w:hAnsi="Times New Roman" w:eastAsia="宋体" w:cs="Times New Roman"/>
      <w:sz w:val="28"/>
      <w:szCs w:val="20"/>
    </w:rPr>
  </w:style>
  <w:style w:type="paragraph" w:styleId="10">
    <w:name w:val="Balloon Text"/>
    <w:basedOn w:val="1"/>
    <w:link w:val="34"/>
    <w:semiHidden/>
    <w:unhideWhenUsed/>
    <w:uiPriority w:val="99"/>
    <w:rPr>
      <w:sz w:val="18"/>
      <w:szCs w:val="18"/>
    </w:rPr>
  </w:style>
  <w:style w:type="paragraph" w:styleId="11">
    <w:name w:val="footer"/>
    <w:basedOn w:val="1"/>
    <w:link w:val="26"/>
    <w:semiHidden/>
    <w:unhideWhenUsed/>
    <w:uiPriority w:val="99"/>
    <w:pPr>
      <w:tabs>
        <w:tab w:val="center" w:pos="4153"/>
        <w:tab w:val="right" w:pos="8306"/>
      </w:tabs>
      <w:snapToGrid w:val="0"/>
      <w:jc w:val="left"/>
    </w:pPr>
    <w:rPr>
      <w:sz w:val="18"/>
      <w:szCs w:val="18"/>
    </w:rPr>
  </w:style>
  <w:style w:type="paragraph" w:styleId="12">
    <w:name w:val="header"/>
    <w:basedOn w:val="1"/>
    <w:link w:val="25"/>
    <w:semiHidden/>
    <w:unhideWhenUsed/>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semiHidden/>
    <w:uiPriority w:val="0"/>
    <w:rPr>
      <w:rFonts w:ascii="Times New Roman" w:hAnsi="Times New Roman" w:eastAsia="宋体" w:cs="Times New Roman"/>
      <w:szCs w:val="24"/>
    </w:rPr>
  </w:style>
  <w:style w:type="paragraph" w:styleId="14">
    <w:name w:val="Body Text Indent 3"/>
    <w:basedOn w:val="1"/>
    <w:link w:val="30"/>
    <w:semiHidden/>
    <w:uiPriority w:val="0"/>
    <w:pPr>
      <w:ind w:left="540" w:hanging="540"/>
    </w:pPr>
    <w:rPr>
      <w:rFonts w:ascii="Times New Roman" w:hAnsi="Times New Roman" w:eastAsia="宋体" w:cs="Times New Roman"/>
      <w:sz w:val="28"/>
      <w:szCs w:val="20"/>
    </w:rPr>
  </w:style>
  <w:style w:type="paragraph" w:styleId="15">
    <w:name w:val="toc 2"/>
    <w:basedOn w:val="1"/>
    <w:next w:val="1"/>
    <w:semiHidden/>
    <w:uiPriority w:val="0"/>
    <w:pPr>
      <w:ind w:left="420" w:leftChars="200"/>
    </w:pPr>
    <w:rPr>
      <w:rFonts w:ascii="Times New Roman" w:hAnsi="Times New Roman" w:eastAsia="宋体" w:cs="Times New Roman"/>
      <w:szCs w:val="24"/>
    </w:rPr>
  </w:style>
  <w:style w:type="paragraph" w:styleId="16">
    <w:name w:val="Normal (Web)"/>
    <w:basedOn w:val="1"/>
    <w:uiPriority w:val="0"/>
    <w:pPr>
      <w:widowControl/>
      <w:spacing w:before="100" w:beforeAutospacing="1" w:after="100" w:afterAutospacing="1"/>
      <w:jc w:val="left"/>
    </w:pPr>
    <w:rPr>
      <w:rFonts w:ascii="宋体" w:hAnsi="宋体" w:eastAsia="宋体" w:cs="宋体"/>
      <w:kern w:val="0"/>
      <w:sz w:val="24"/>
      <w:szCs w:val="24"/>
    </w:rPr>
  </w:style>
  <w:style w:type="paragraph" w:styleId="17">
    <w:name w:val="Title"/>
    <w:basedOn w:val="1"/>
    <w:link w:val="37"/>
    <w:qFormat/>
    <w:uiPriority w:val="0"/>
    <w:pPr>
      <w:spacing w:beforeLines="100" w:afterLines="100" w:line="400" w:lineRule="atLeast"/>
      <w:jc w:val="center"/>
      <w:outlineLvl w:val="0"/>
    </w:pPr>
    <w:rPr>
      <w:rFonts w:ascii="Times New Roman" w:hAnsi="Times New Roman" w:eastAsia="黑体" w:cs="Arial"/>
      <w:b/>
      <w:bCs/>
      <w:sz w:val="32"/>
      <w:szCs w:val="32"/>
    </w:rPr>
  </w:style>
  <w:style w:type="paragraph" w:styleId="18">
    <w:name w:val="Body Text First Indent"/>
    <w:basedOn w:val="4"/>
    <w:link w:val="36"/>
    <w:semiHidden/>
    <w:unhideWhenUsed/>
    <w:uiPriority w:val="99"/>
    <w:pPr>
      <w:ind w:firstLine="420" w:firstLineChars="100"/>
    </w:pPr>
  </w:style>
  <w:style w:type="table" w:styleId="20">
    <w:name w:val="Table Grid"/>
    <w:basedOn w:val="19"/>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FollowedHyperlink"/>
    <w:basedOn w:val="21"/>
    <w:semiHidden/>
    <w:unhideWhenUsed/>
    <w:uiPriority w:val="99"/>
    <w:rPr>
      <w:color w:val="800080" w:themeColor="followedHyperlink"/>
      <w:u w:val="single"/>
    </w:rPr>
  </w:style>
  <w:style w:type="character" w:styleId="23">
    <w:name w:val="Hyperlink"/>
    <w:basedOn w:val="21"/>
    <w:uiPriority w:val="0"/>
    <w:rPr>
      <w:color w:val="0000FF"/>
      <w:u w:val="single"/>
    </w:rPr>
  </w:style>
  <w:style w:type="character" w:styleId="24">
    <w:name w:val="annotation reference"/>
    <w:basedOn w:val="21"/>
    <w:semiHidden/>
    <w:unhideWhenUsed/>
    <w:uiPriority w:val="99"/>
    <w:rPr>
      <w:sz w:val="21"/>
      <w:szCs w:val="21"/>
    </w:rPr>
  </w:style>
  <w:style w:type="character" w:customStyle="1" w:styleId="25">
    <w:name w:val="页眉 Char"/>
    <w:basedOn w:val="21"/>
    <w:link w:val="12"/>
    <w:semiHidden/>
    <w:uiPriority w:val="99"/>
    <w:rPr>
      <w:sz w:val="18"/>
      <w:szCs w:val="18"/>
    </w:rPr>
  </w:style>
  <w:style w:type="character" w:customStyle="1" w:styleId="26">
    <w:name w:val="页脚 Char"/>
    <w:basedOn w:val="21"/>
    <w:link w:val="11"/>
    <w:semiHidden/>
    <w:uiPriority w:val="99"/>
    <w:rPr>
      <w:sz w:val="18"/>
      <w:szCs w:val="18"/>
    </w:rPr>
  </w:style>
  <w:style w:type="character" w:customStyle="1" w:styleId="27">
    <w:name w:val="标题 3 Char"/>
    <w:basedOn w:val="21"/>
    <w:link w:val="2"/>
    <w:uiPriority w:val="0"/>
    <w:rPr>
      <w:rFonts w:ascii="Times New Roman" w:hAnsi="Times New Roman" w:eastAsia="宋体" w:cs="Times New Roman"/>
      <w:b/>
      <w:bCs/>
      <w:sz w:val="32"/>
      <w:szCs w:val="32"/>
    </w:rPr>
  </w:style>
  <w:style w:type="character" w:customStyle="1" w:styleId="28">
    <w:name w:val="正文文本缩进 Char"/>
    <w:basedOn w:val="21"/>
    <w:link w:val="5"/>
    <w:semiHidden/>
    <w:uiPriority w:val="0"/>
    <w:rPr>
      <w:rFonts w:ascii="Times New Roman" w:hAnsi="Times New Roman" w:eastAsia="宋体" w:cs="Times New Roman"/>
      <w:sz w:val="28"/>
      <w:szCs w:val="20"/>
    </w:rPr>
  </w:style>
  <w:style w:type="character" w:customStyle="1" w:styleId="29">
    <w:name w:val="正文文本缩进 2 Char"/>
    <w:basedOn w:val="21"/>
    <w:link w:val="9"/>
    <w:semiHidden/>
    <w:uiPriority w:val="0"/>
    <w:rPr>
      <w:rFonts w:ascii="Times New Roman" w:hAnsi="Times New Roman" w:eastAsia="宋体" w:cs="Times New Roman"/>
      <w:sz w:val="28"/>
      <w:szCs w:val="20"/>
    </w:rPr>
  </w:style>
  <w:style w:type="character" w:customStyle="1" w:styleId="30">
    <w:name w:val="正文文本缩进 3 Char"/>
    <w:basedOn w:val="21"/>
    <w:link w:val="14"/>
    <w:semiHidden/>
    <w:uiPriority w:val="0"/>
    <w:rPr>
      <w:rFonts w:ascii="Times New Roman" w:hAnsi="Times New Roman" w:eastAsia="宋体" w:cs="Times New Roman"/>
      <w:sz w:val="28"/>
      <w:szCs w:val="20"/>
    </w:rPr>
  </w:style>
  <w:style w:type="paragraph" w:styleId="31">
    <w:name w:val="List Paragraph"/>
    <w:basedOn w:val="1"/>
    <w:qFormat/>
    <w:uiPriority w:val="34"/>
    <w:pPr>
      <w:ind w:firstLine="420" w:firstLineChars="200"/>
    </w:pPr>
  </w:style>
  <w:style w:type="paragraph" w:customStyle="1" w:styleId="32">
    <w:name w:val="reader-word-layer"/>
    <w:basedOn w:val="1"/>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33">
    <w:name w:val="批注文字 Char"/>
    <w:basedOn w:val="21"/>
    <w:link w:val="3"/>
    <w:semiHidden/>
    <w:uiPriority w:val="99"/>
    <w:rPr>
      <w:rFonts w:ascii="Calibri" w:hAnsi="Calibri" w:eastAsia="宋体" w:cs="Times New Roman"/>
    </w:rPr>
  </w:style>
  <w:style w:type="character" w:customStyle="1" w:styleId="34">
    <w:name w:val="批注框文本 Char"/>
    <w:basedOn w:val="21"/>
    <w:link w:val="10"/>
    <w:semiHidden/>
    <w:uiPriority w:val="99"/>
    <w:rPr>
      <w:sz w:val="18"/>
      <w:szCs w:val="18"/>
    </w:rPr>
  </w:style>
  <w:style w:type="character" w:customStyle="1" w:styleId="35">
    <w:name w:val="正文文本 Char"/>
    <w:basedOn w:val="21"/>
    <w:link w:val="4"/>
    <w:semiHidden/>
    <w:uiPriority w:val="99"/>
  </w:style>
  <w:style w:type="character" w:customStyle="1" w:styleId="36">
    <w:name w:val="正文首行缩进 Char"/>
    <w:basedOn w:val="35"/>
    <w:link w:val="18"/>
    <w:semiHidden/>
    <w:uiPriority w:val="99"/>
  </w:style>
  <w:style w:type="character" w:customStyle="1" w:styleId="37">
    <w:name w:val="标题 Char"/>
    <w:basedOn w:val="21"/>
    <w:link w:val="17"/>
    <w:uiPriority w:val="0"/>
    <w:rPr>
      <w:rFonts w:ascii="Times New Roman" w:hAnsi="Times New Roman" w:eastAsia="黑体" w:cs="Arial"/>
      <w:b/>
      <w:bCs/>
      <w:sz w:val="32"/>
      <w:szCs w:val="32"/>
    </w:rPr>
  </w:style>
  <w:style w:type="character" w:customStyle="1" w:styleId="38">
    <w:name w:val="日期 Char"/>
    <w:basedOn w:val="21"/>
    <w:link w:val="8"/>
    <w:semiHidden/>
    <w:uiPriority w:val="99"/>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69"/>
    <customShpInfo spid="_x0000_s2068"/>
    <customShpInfo spid="_x0000_s2051"/>
    <customShpInfo spid="_x0000_s2052"/>
    <customShpInfo spid="_x0000_s2053"/>
    <customShpInfo spid="_x0000_s2054"/>
    <customShpInfo spid="_x0000_s2055"/>
    <customShpInfo spid="_x0000_s2056"/>
    <customShpInfo spid="_x0000_s2057"/>
    <customShpInfo spid="_x0000_s2058"/>
    <customShpInfo spid="_x0000_s2059"/>
    <customShpInfo spid="_x0000_s2060"/>
    <customShpInfo spid="_x0000_s2061"/>
    <customShpInfo spid="_x0000_s2062"/>
    <customShpInfo spid="_x0000_s2063"/>
    <customShpInfo spid="_x0000_s2064"/>
    <customShpInfo spid="_x0000_s2050"/>
    <customShpInfo spid="_x0000_s2066"/>
    <customShpInfo spid="_x0000_s206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AD9BBF7-E1EB-4B49-9E42-398A1F8A1F87}">
  <ds:schemaRefs/>
</ds:datastoreItem>
</file>

<file path=docProps/app.xml><?xml version="1.0" encoding="utf-8"?>
<Properties xmlns="http://schemas.openxmlformats.org/officeDocument/2006/extended-properties" xmlns:vt="http://schemas.openxmlformats.org/officeDocument/2006/docPropsVTypes">
  <Template>Normal.dotm</Template>
  <Pages>1</Pages>
  <Words>1176</Words>
  <Characters>6705</Characters>
  <Lines>55</Lines>
  <Paragraphs>15</Paragraphs>
  <TotalTime>7</TotalTime>
  <ScaleCrop>false</ScaleCrop>
  <LinksUpToDate>false</LinksUpToDate>
  <CharactersWithSpaces>7866</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2014-12-19T06:59:00Z</dcterms:created>
  <dc:creator>王学伟</dc:creator>
  <cp:lastModifiedBy>李勇</cp:lastModifiedBy>
  <dcterms:modified xsi:type="dcterms:W3CDTF">2020-04-23T16:13:22Z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